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C327" w14:textId="7D51A180" w:rsidR="009B17D1" w:rsidRPr="00FA799D" w:rsidRDefault="009364D7" w:rsidP="00F5762F">
      <w:pPr>
        <w:pStyle w:val="Heading1"/>
        <w:spacing w:before="0"/>
        <w:jc w:val="center"/>
        <w:rPr>
          <w:rFonts w:cs="Calibri"/>
          <w:color w:val="002060"/>
        </w:rPr>
      </w:pPr>
      <w:r w:rsidRPr="00FA799D">
        <w:rPr>
          <w:rFonts w:cs="Calibri"/>
          <w:color w:val="002060"/>
        </w:rPr>
        <w:t>BTA Web Accessibility Policy</w:t>
      </w:r>
    </w:p>
    <w:p w14:paraId="096877C7" w14:textId="786872F0" w:rsidR="009B17D1" w:rsidRPr="00FA799D" w:rsidRDefault="00F5762F" w:rsidP="00F5762F">
      <w:pPr>
        <w:pStyle w:val="Subtitle"/>
        <w:spacing w:after="480"/>
        <w:jc w:val="center"/>
        <w:rPr>
          <w:rStyle w:val="IntenseEmphasis"/>
          <w:b/>
          <w:color w:val="002060"/>
        </w:rPr>
      </w:pPr>
      <w:r w:rsidRPr="00FA799D">
        <w:rPr>
          <w:rStyle w:val="IntenseEmphasis"/>
          <w:b/>
          <w:color w:val="002060"/>
        </w:rPr>
        <w:t xml:space="preserve">Effective </w:t>
      </w:r>
      <w:r w:rsidR="00132570" w:rsidRPr="00FA799D">
        <w:rPr>
          <w:rStyle w:val="IntenseEmphasis"/>
          <w:b/>
          <w:color w:val="002060"/>
        </w:rPr>
        <w:t>April 24, 2026</w:t>
      </w:r>
    </w:p>
    <w:p w14:paraId="07C7C126" w14:textId="32BCFF29" w:rsidR="001307CD" w:rsidRPr="00FA799D" w:rsidRDefault="009364D7" w:rsidP="00F5762F">
      <w:pPr>
        <w:pStyle w:val="Heading2"/>
        <w:numPr>
          <w:ilvl w:val="0"/>
          <w:numId w:val="35"/>
        </w:numPr>
        <w:spacing w:before="0" w:after="240"/>
        <w:rPr>
          <w:color w:val="002060"/>
        </w:rPr>
      </w:pPr>
      <w:r w:rsidRPr="00FA799D">
        <w:rPr>
          <w:color w:val="002060"/>
        </w:rPr>
        <w:t>Purpose</w:t>
      </w:r>
    </w:p>
    <w:p w14:paraId="1E39A88F" w14:textId="48C61DF6" w:rsidR="009364D7" w:rsidRPr="00F5762F" w:rsidRDefault="009364D7" w:rsidP="009364D7">
      <w:pPr>
        <w:widowControl/>
        <w:spacing w:after="240"/>
        <w:ind w:left="720"/>
        <w:jc w:val="both"/>
        <w:rPr>
          <w:rFonts w:asciiTheme="minorHAnsi" w:hAnsiTheme="minorHAnsi" w:cstheme="minorHAnsi"/>
        </w:rPr>
      </w:pPr>
      <w:r w:rsidRPr="00F5762F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e p</w:t>
      </w:r>
      <w:r w:rsidRPr="009364D7">
        <w:rPr>
          <w:rFonts w:asciiTheme="minorHAnsi" w:hAnsiTheme="minorHAnsi" w:cstheme="minorHAnsi"/>
        </w:rPr>
        <w:t>urpose of this policy is to ensure web accessibility compliance in accordance with federal and state regulations</w:t>
      </w:r>
      <w:r>
        <w:rPr>
          <w:rFonts w:asciiTheme="minorHAnsi" w:hAnsiTheme="minorHAnsi" w:cstheme="minorHAnsi"/>
        </w:rPr>
        <w:t>.</w:t>
      </w:r>
    </w:p>
    <w:p w14:paraId="6D3C275F" w14:textId="496992B2" w:rsidR="001307CD" w:rsidRPr="00FA799D" w:rsidRDefault="009364D7" w:rsidP="00F5762F">
      <w:pPr>
        <w:pStyle w:val="Heading2"/>
        <w:numPr>
          <w:ilvl w:val="0"/>
          <w:numId w:val="35"/>
        </w:numPr>
        <w:spacing w:before="0" w:after="240"/>
        <w:rPr>
          <w:color w:val="002060"/>
        </w:rPr>
      </w:pPr>
      <w:r w:rsidRPr="00FA799D">
        <w:rPr>
          <w:color w:val="002060"/>
        </w:rPr>
        <w:t>References</w:t>
      </w:r>
    </w:p>
    <w:p w14:paraId="102AE22E" w14:textId="3314C198" w:rsidR="009364D7" w:rsidRPr="00FA799D" w:rsidRDefault="009364D7" w:rsidP="009364D7">
      <w:pPr>
        <w:widowControl/>
        <w:spacing w:after="240"/>
        <w:ind w:left="720"/>
        <w:jc w:val="both"/>
        <w:rPr>
          <w:rFonts w:asciiTheme="minorHAnsi" w:hAnsiTheme="minorHAnsi" w:cstheme="minorHAnsi"/>
          <w:color w:val="002060"/>
        </w:rPr>
      </w:pPr>
      <w:hyperlink r:id="rId8" w:history="1">
        <w:r w:rsidRPr="00FA799D">
          <w:rPr>
            <w:rStyle w:val="Hyperlink"/>
            <w:rFonts w:asciiTheme="minorHAnsi" w:hAnsiTheme="minorHAnsi" w:cstheme="minorHAnsi"/>
            <w:color w:val="002060"/>
          </w:rPr>
          <w:t>28 CFR Part 35, Subpart H</w:t>
        </w:r>
      </w:hyperlink>
      <w:r w:rsidRPr="00FA799D">
        <w:rPr>
          <w:rFonts w:asciiTheme="minorHAnsi" w:hAnsiTheme="minorHAnsi" w:cstheme="minorHAnsi"/>
          <w:color w:val="002060"/>
        </w:rPr>
        <w:t>;</w:t>
      </w:r>
    </w:p>
    <w:p w14:paraId="37BF65EB" w14:textId="44CACB7D" w:rsidR="0009754D" w:rsidRPr="00FA799D" w:rsidRDefault="009364D7" w:rsidP="009364D7">
      <w:pPr>
        <w:widowControl/>
        <w:spacing w:after="240"/>
        <w:ind w:left="720"/>
        <w:jc w:val="both"/>
        <w:rPr>
          <w:rFonts w:asciiTheme="minorHAnsi" w:hAnsiTheme="minorHAnsi" w:cstheme="minorHAnsi"/>
          <w:color w:val="002060"/>
        </w:rPr>
      </w:pPr>
      <w:hyperlink r:id="rId9" w:history="1">
        <w:r w:rsidRPr="00FA799D">
          <w:rPr>
            <w:rStyle w:val="Hyperlink"/>
            <w:rFonts w:asciiTheme="minorHAnsi" w:hAnsiTheme="minorHAnsi" w:cstheme="minorHAnsi"/>
            <w:color w:val="002060"/>
          </w:rPr>
          <w:t>PPM 74 – Web Accessibility Compliance</w:t>
        </w:r>
      </w:hyperlink>
      <w:r w:rsidRPr="00FA799D">
        <w:rPr>
          <w:rFonts w:asciiTheme="minorHAnsi" w:hAnsiTheme="minorHAnsi" w:cstheme="minorHAnsi"/>
          <w:color w:val="002060"/>
        </w:rPr>
        <w:t>.</w:t>
      </w:r>
    </w:p>
    <w:p w14:paraId="44B5AC55" w14:textId="77777777" w:rsidR="00C83FD1" w:rsidRPr="00FA799D" w:rsidRDefault="00C83FD1" w:rsidP="00F5762F">
      <w:pPr>
        <w:pStyle w:val="Heading2"/>
        <w:numPr>
          <w:ilvl w:val="0"/>
          <w:numId w:val="35"/>
        </w:numPr>
        <w:spacing w:before="0" w:after="240"/>
        <w:rPr>
          <w:color w:val="002060"/>
        </w:rPr>
      </w:pPr>
      <w:r w:rsidRPr="00FA799D">
        <w:rPr>
          <w:color w:val="002060"/>
        </w:rPr>
        <w:t>APPLICABILITY</w:t>
      </w:r>
    </w:p>
    <w:p w14:paraId="08A1090E" w14:textId="094224EA" w:rsidR="00C83FD1" w:rsidRPr="00F5762F" w:rsidRDefault="00C83FD1" w:rsidP="00F5762F">
      <w:pPr>
        <w:widowControl/>
        <w:spacing w:after="240"/>
        <w:ind w:left="720"/>
        <w:jc w:val="both"/>
        <w:rPr>
          <w:rFonts w:asciiTheme="minorHAnsi" w:hAnsiTheme="minorHAnsi" w:cstheme="minorHAnsi"/>
        </w:rPr>
      </w:pPr>
      <w:bookmarkStart w:id="0" w:name="_Hlk225766462"/>
      <w:r w:rsidRPr="00F5762F">
        <w:rPr>
          <w:rFonts w:asciiTheme="minorHAnsi" w:hAnsiTheme="minorHAnsi" w:cstheme="minorHAnsi"/>
        </w:rPr>
        <w:t xml:space="preserve">This policy applies to all </w:t>
      </w:r>
      <w:r w:rsidR="009364D7">
        <w:rPr>
          <w:rFonts w:asciiTheme="minorHAnsi" w:hAnsiTheme="minorHAnsi" w:cstheme="minorHAnsi"/>
        </w:rPr>
        <w:t>Board of Tax Appeals (“</w:t>
      </w:r>
      <w:r w:rsidR="00C8464D">
        <w:rPr>
          <w:rFonts w:asciiTheme="minorHAnsi" w:hAnsiTheme="minorHAnsi" w:cstheme="minorHAnsi"/>
          <w:b/>
        </w:rPr>
        <w:t>Board</w:t>
      </w:r>
      <w:r w:rsidR="009364D7" w:rsidRPr="009364D7">
        <w:rPr>
          <w:rFonts w:asciiTheme="minorHAnsi" w:hAnsiTheme="minorHAnsi" w:cstheme="minorHAnsi"/>
          <w:bCs/>
        </w:rPr>
        <w:t>”)</w:t>
      </w:r>
      <w:r w:rsidRPr="00F5762F">
        <w:rPr>
          <w:rFonts w:asciiTheme="minorHAnsi" w:hAnsiTheme="minorHAnsi" w:cstheme="minorHAnsi"/>
        </w:rPr>
        <w:t xml:space="preserve"> </w:t>
      </w:r>
      <w:r w:rsidR="009364D7">
        <w:rPr>
          <w:rFonts w:asciiTheme="minorHAnsi" w:hAnsiTheme="minorHAnsi" w:cstheme="minorHAnsi"/>
        </w:rPr>
        <w:t xml:space="preserve">offices and the </w:t>
      </w:r>
      <w:r w:rsidR="009364D7" w:rsidRPr="009364D7">
        <w:rPr>
          <w:rFonts w:asciiTheme="minorHAnsi" w:hAnsiTheme="minorHAnsi" w:cstheme="minorHAnsi"/>
          <w:b/>
          <w:bCs/>
        </w:rPr>
        <w:t>Board</w:t>
      </w:r>
      <w:r w:rsidR="009364D7">
        <w:rPr>
          <w:rFonts w:asciiTheme="minorHAnsi" w:hAnsiTheme="minorHAnsi" w:cstheme="minorHAnsi"/>
        </w:rPr>
        <w:t>’s website.</w:t>
      </w:r>
    </w:p>
    <w:bookmarkEnd w:id="0"/>
    <w:p w14:paraId="24E51F33" w14:textId="77777777" w:rsidR="009D2D2D" w:rsidRPr="00F34808" w:rsidRDefault="009D2D2D" w:rsidP="00F5762F">
      <w:pPr>
        <w:pStyle w:val="Heading2"/>
        <w:numPr>
          <w:ilvl w:val="0"/>
          <w:numId w:val="35"/>
        </w:numPr>
        <w:spacing w:before="0" w:after="240"/>
        <w:rPr>
          <w:rFonts w:eastAsia="PMingLiU"/>
        </w:rPr>
      </w:pPr>
      <w:r w:rsidRPr="00FA799D">
        <w:rPr>
          <w:rFonts w:eastAsia="PMingLiU"/>
          <w:color w:val="002060"/>
        </w:rPr>
        <w:t>DEFINITIONS</w:t>
      </w:r>
    </w:p>
    <w:p w14:paraId="236F1512" w14:textId="77777777" w:rsidR="00953823" w:rsidRDefault="009364D7" w:rsidP="009364D7">
      <w:pPr>
        <w:pStyle w:val="ListParagraph"/>
        <w:widowControl/>
        <w:numPr>
          <w:ilvl w:val="0"/>
          <w:numId w:val="4"/>
        </w:numPr>
        <w:jc w:val="both"/>
        <w:rPr>
          <w:rFonts w:ascii="Calibri" w:eastAsia="PMingLiU" w:hAnsi="Calibri" w:cs="Calibri"/>
        </w:rPr>
      </w:pPr>
      <w:bookmarkStart w:id="1" w:name="_Hlk225766444"/>
      <w:r>
        <w:rPr>
          <w:rFonts w:ascii="Calibri" w:eastAsia="PMingLiU" w:hAnsi="Calibri" w:cs="Calibri"/>
          <w:b/>
        </w:rPr>
        <w:t>Web Content</w:t>
      </w:r>
      <w:r w:rsidR="00971FA1" w:rsidRPr="008C4BE6">
        <w:rPr>
          <w:rFonts w:ascii="Calibri" w:eastAsia="PMingLiU" w:hAnsi="Calibri" w:cs="Calibri"/>
          <w:b/>
        </w:rPr>
        <w:t>:</w:t>
      </w:r>
      <w:r w:rsidR="00971FA1" w:rsidRPr="00F5762F">
        <w:rPr>
          <w:rFonts w:ascii="Calibri" w:eastAsia="PMingLiU" w:hAnsi="Calibri" w:cs="Calibri"/>
        </w:rPr>
        <w:t xml:space="preserve"> </w:t>
      </w:r>
    </w:p>
    <w:p w14:paraId="733A1839" w14:textId="77777777" w:rsidR="00A04E59" w:rsidRDefault="00A04E59" w:rsidP="00A04E59">
      <w:pPr>
        <w:pStyle w:val="ListParagraph"/>
        <w:widowControl/>
        <w:ind w:left="1080"/>
        <w:jc w:val="both"/>
        <w:rPr>
          <w:rFonts w:ascii="Calibri" w:eastAsia="PMingLiU" w:hAnsi="Calibri" w:cs="Calibri"/>
        </w:rPr>
      </w:pPr>
    </w:p>
    <w:p w14:paraId="4E5D06C6" w14:textId="5E7AADEC" w:rsidR="009364D7" w:rsidRDefault="009364D7" w:rsidP="00953823">
      <w:pPr>
        <w:pStyle w:val="ListParagraph"/>
        <w:widowControl/>
        <w:ind w:left="1080"/>
        <w:jc w:val="both"/>
        <w:rPr>
          <w:rFonts w:ascii="Calibri" w:eastAsia="PMingLiU" w:hAnsi="Calibri" w:cs="Calibri"/>
        </w:rPr>
      </w:pPr>
      <w:r>
        <w:rPr>
          <w:rFonts w:ascii="Calibri" w:eastAsia="PMingLiU" w:hAnsi="Calibri" w:cs="Calibri"/>
        </w:rPr>
        <w:t>T</w:t>
      </w:r>
      <w:r w:rsidRPr="009364D7">
        <w:rPr>
          <w:rFonts w:ascii="Calibri" w:eastAsia="PMingLiU" w:hAnsi="Calibri" w:cs="Calibri"/>
        </w:rPr>
        <w:t xml:space="preserve">he information and sensory experience communicated to the user of a website or mobile </w:t>
      </w:r>
      <w:bookmarkEnd w:id="1"/>
      <w:r w:rsidRPr="009364D7">
        <w:rPr>
          <w:rFonts w:ascii="Calibri" w:eastAsia="PMingLiU" w:hAnsi="Calibri" w:cs="Calibri"/>
        </w:rPr>
        <w:t xml:space="preserve">application. This may be achieved </w:t>
      </w:r>
      <w:proofErr w:type="gramStart"/>
      <w:r w:rsidRPr="009364D7">
        <w:rPr>
          <w:rFonts w:ascii="Calibri" w:eastAsia="PMingLiU" w:hAnsi="Calibri" w:cs="Calibri"/>
        </w:rPr>
        <w:t>through the use of</w:t>
      </w:r>
      <w:proofErr w:type="gramEnd"/>
      <w:r w:rsidRPr="009364D7">
        <w:rPr>
          <w:rFonts w:ascii="Calibri" w:eastAsia="PMingLiU" w:hAnsi="Calibri" w:cs="Calibri"/>
        </w:rPr>
        <w:t xml:space="preserve"> text, images, sound, videos, linked documents, and social media posts.</w:t>
      </w:r>
    </w:p>
    <w:p w14:paraId="7AE5FACD" w14:textId="77777777" w:rsidR="009364D7" w:rsidRDefault="009364D7" w:rsidP="009364D7">
      <w:pPr>
        <w:pStyle w:val="ListParagraph"/>
        <w:widowControl/>
        <w:ind w:left="1080"/>
        <w:jc w:val="both"/>
        <w:rPr>
          <w:rFonts w:ascii="Calibri" w:eastAsia="PMingLiU" w:hAnsi="Calibri" w:cs="Calibri"/>
        </w:rPr>
      </w:pPr>
    </w:p>
    <w:p w14:paraId="4AA7D784" w14:textId="77777777" w:rsidR="00953823" w:rsidRDefault="009364D7" w:rsidP="009364D7">
      <w:pPr>
        <w:pStyle w:val="ListParagraph"/>
        <w:widowControl/>
        <w:numPr>
          <w:ilvl w:val="0"/>
          <w:numId w:val="4"/>
        </w:numPr>
        <w:jc w:val="both"/>
        <w:rPr>
          <w:rFonts w:ascii="Calibri" w:eastAsia="PMingLiU" w:hAnsi="Calibri" w:cs="Calibri"/>
        </w:rPr>
      </w:pPr>
      <w:r w:rsidRPr="009364D7">
        <w:rPr>
          <w:rFonts w:ascii="Calibri" w:eastAsia="PMingLiU" w:hAnsi="Calibri" w:cs="Calibri"/>
          <w:b/>
        </w:rPr>
        <w:t>Web Content Accessibility Guidelines (WCAG)</w:t>
      </w:r>
      <w:r w:rsidR="00971FA1" w:rsidRPr="008C4BE6">
        <w:rPr>
          <w:rFonts w:ascii="Calibri" w:eastAsia="PMingLiU" w:hAnsi="Calibri" w:cs="Calibri"/>
          <w:b/>
        </w:rPr>
        <w:t>:</w:t>
      </w:r>
      <w:r w:rsidR="00971FA1" w:rsidRPr="00F5762F">
        <w:rPr>
          <w:rFonts w:ascii="Calibri" w:eastAsia="PMingLiU" w:hAnsi="Calibri" w:cs="Calibri"/>
        </w:rPr>
        <w:t xml:space="preserve"> </w:t>
      </w:r>
    </w:p>
    <w:p w14:paraId="69A2AD14" w14:textId="77777777" w:rsidR="00A04E59" w:rsidRDefault="00A04E59" w:rsidP="00A04E59">
      <w:pPr>
        <w:pStyle w:val="ListParagraph"/>
        <w:widowControl/>
        <w:ind w:left="1080"/>
        <w:jc w:val="both"/>
        <w:rPr>
          <w:rFonts w:ascii="Calibri" w:eastAsia="PMingLiU" w:hAnsi="Calibri" w:cs="Calibri"/>
        </w:rPr>
      </w:pPr>
    </w:p>
    <w:p w14:paraId="36E6884A" w14:textId="2CE43A93" w:rsidR="002C7B80" w:rsidRDefault="009364D7" w:rsidP="00953823">
      <w:pPr>
        <w:pStyle w:val="ListParagraph"/>
        <w:widowControl/>
        <w:ind w:left="1080"/>
        <w:jc w:val="both"/>
        <w:rPr>
          <w:rFonts w:ascii="Calibri" w:eastAsia="PMingLiU" w:hAnsi="Calibri" w:cs="Calibri"/>
        </w:rPr>
      </w:pPr>
      <w:r>
        <w:rPr>
          <w:rFonts w:ascii="Calibri" w:eastAsia="PMingLiU" w:hAnsi="Calibri" w:cs="Calibri"/>
        </w:rPr>
        <w:t>A</w:t>
      </w:r>
      <w:r w:rsidRPr="009364D7">
        <w:rPr>
          <w:rFonts w:ascii="Calibri" w:eastAsia="PMingLiU" w:hAnsi="Calibri" w:cs="Calibri"/>
        </w:rPr>
        <w:t xml:space="preserve"> set of technical standards for web content and mobile applications so that they are accessible by people with disabilities</w:t>
      </w:r>
      <w:r w:rsidR="005E360A" w:rsidRPr="00F5762F">
        <w:rPr>
          <w:rFonts w:ascii="Calibri" w:eastAsia="PMingLiU" w:hAnsi="Calibri" w:cs="Calibri"/>
        </w:rPr>
        <w:t>.</w:t>
      </w:r>
    </w:p>
    <w:p w14:paraId="51F5C219" w14:textId="77777777" w:rsidR="009364D7" w:rsidRPr="00F5762F" w:rsidRDefault="009364D7" w:rsidP="009364D7">
      <w:pPr>
        <w:pStyle w:val="ListParagraph"/>
        <w:widowControl/>
        <w:ind w:left="1080"/>
        <w:jc w:val="both"/>
        <w:rPr>
          <w:rFonts w:ascii="Calibri" w:eastAsia="PMingLiU" w:hAnsi="Calibri" w:cs="Calibri"/>
        </w:rPr>
      </w:pPr>
    </w:p>
    <w:p w14:paraId="261B4804" w14:textId="77777777" w:rsidR="00953823" w:rsidRDefault="009364D7" w:rsidP="00953823">
      <w:pPr>
        <w:pStyle w:val="ListParagraph"/>
        <w:widowControl/>
        <w:numPr>
          <w:ilvl w:val="0"/>
          <w:numId w:val="4"/>
        </w:numPr>
        <w:contextualSpacing w:val="0"/>
        <w:jc w:val="both"/>
        <w:rPr>
          <w:rFonts w:asciiTheme="minorHAnsi" w:eastAsia="PMingLiU" w:hAnsiTheme="minorHAnsi" w:cstheme="minorHAnsi"/>
        </w:rPr>
      </w:pPr>
      <w:r w:rsidRPr="00953823">
        <w:rPr>
          <w:rFonts w:asciiTheme="minorHAnsi" w:eastAsia="PMingLiU" w:hAnsiTheme="minorHAnsi" w:cstheme="minorHAnsi"/>
          <w:b/>
        </w:rPr>
        <w:t>Web Properties</w:t>
      </w:r>
      <w:r w:rsidR="00971FA1" w:rsidRPr="00953823">
        <w:rPr>
          <w:rFonts w:asciiTheme="minorHAnsi" w:eastAsia="PMingLiU" w:hAnsiTheme="minorHAnsi" w:cstheme="minorHAnsi"/>
        </w:rPr>
        <w:t xml:space="preserve">: </w:t>
      </w:r>
    </w:p>
    <w:p w14:paraId="3EE04562" w14:textId="77777777" w:rsidR="00A04E59" w:rsidRDefault="00A04E59" w:rsidP="00A04E59">
      <w:pPr>
        <w:pStyle w:val="ListParagraph"/>
        <w:widowControl/>
        <w:ind w:left="1080"/>
        <w:contextualSpacing w:val="0"/>
        <w:jc w:val="both"/>
        <w:rPr>
          <w:rFonts w:asciiTheme="minorHAnsi" w:eastAsia="PMingLiU" w:hAnsiTheme="minorHAnsi" w:cstheme="minorHAnsi"/>
        </w:rPr>
      </w:pPr>
    </w:p>
    <w:p w14:paraId="45075B6B" w14:textId="6541BA24" w:rsidR="00D4700E" w:rsidRDefault="00132570" w:rsidP="009A0FAD">
      <w:pPr>
        <w:pStyle w:val="ListParagraph"/>
        <w:widowControl/>
        <w:numPr>
          <w:ilvl w:val="0"/>
          <w:numId w:val="41"/>
        </w:numPr>
        <w:spacing w:after="240"/>
        <w:contextualSpacing w:val="0"/>
        <w:jc w:val="both"/>
        <w:rPr>
          <w:rFonts w:asciiTheme="minorHAnsi" w:eastAsia="PMingLiU" w:hAnsiTheme="minorHAnsi" w:cstheme="minorHAnsi"/>
        </w:rPr>
      </w:pPr>
      <w:r>
        <w:rPr>
          <w:rFonts w:asciiTheme="minorHAnsi" w:eastAsia="PMingLiU" w:hAnsiTheme="minorHAnsi" w:cstheme="minorHAnsi"/>
        </w:rPr>
        <w:t>T</w:t>
      </w:r>
      <w:r w:rsidR="009364D7" w:rsidRPr="00953823">
        <w:rPr>
          <w:rFonts w:asciiTheme="minorHAnsi" w:eastAsia="PMingLiU" w:hAnsiTheme="minorHAnsi" w:cstheme="minorHAnsi"/>
        </w:rPr>
        <w:t>he various points of presence on the web that the Board uses to represent itself. This may include websites, mobile applications, and social media accounts that serve different purposes or audiences.</w:t>
      </w:r>
    </w:p>
    <w:p w14:paraId="4FBF3420" w14:textId="1B219CA4" w:rsidR="00132570" w:rsidRPr="00953823" w:rsidRDefault="00132570" w:rsidP="00132570">
      <w:pPr>
        <w:pStyle w:val="ListParagraph"/>
        <w:widowControl/>
        <w:numPr>
          <w:ilvl w:val="0"/>
          <w:numId w:val="41"/>
        </w:numPr>
        <w:spacing w:after="240"/>
        <w:contextualSpacing w:val="0"/>
        <w:jc w:val="both"/>
        <w:rPr>
          <w:rFonts w:asciiTheme="minorHAnsi" w:eastAsia="PMingLiU" w:hAnsiTheme="minorHAnsi" w:cstheme="minorHAnsi"/>
        </w:rPr>
      </w:pPr>
      <w:r>
        <w:rPr>
          <w:rFonts w:asciiTheme="minorHAnsi" w:eastAsia="PMingLiU" w:hAnsiTheme="minorHAnsi" w:cstheme="minorHAnsi"/>
        </w:rPr>
        <w:t xml:space="preserve">To the extent required by </w:t>
      </w:r>
      <w:r w:rsidR="009A0FAD">
        <w:rPr>
          <w:rFonts w:asciiTheme="minorHAnsi" w:eastAsia="PMingLiU" w:hAnsiTheme="minorHAnsi" w:cstheme="minorHAnsi"/>
        </w:rPr>
        <w:t xml:space="preserve">the law of the state of </w:t>
      </w:r>
      <w:r>
        <w:rPr>
          <w:rFonts w:asciiTheme="minorHAnsi" w:eastAsia="PMingLiU" w:hAnsiTheme="minorHAnsi" w:cstheme="minorHAnsi"/>
        </w:rPr>
        <w:t xml:space="preserve">Louisiana </w:t>
      </w:r>
      <w:r w:rsidR="009A0FAD">
        <w:rPr>
          <w:rFonts w:asciiTheme="minorHAnsi" w:eastAsia="PMingLiU" w:hAnsiTheme="minorHAnsi" w:cstheme="minorHAnsi"/>
        </w:rPr>
        <w:t xml:space="preserve">and/or the law of the United States, </w:t>
      </w:r>
      <w:r>
        <w:rPr>
          <w:rFonts w:asciiTheme="minorHAnsi" w:eastAsia="PMingLiU" w:hAnsiTheme="minorHAnsi" w:cstheme="minorHAnsi"/>
        </w:rPr>
        <w:t xml:space="preserve">Web Properties includes </w:t>
      </w:r>
      <w:r w:rsidR="006566BC">
        <w:rPr>
          <w:rFonts w:asciiTheme="minorHAnsi" w:eastAsia="PMingLiU" w:hAnsiTheme="minorHAnsi" w:cstheme="minorHAnsi"/>
        </w:rPr>
        <w:t xml:space="preserve">web </w:t>
      </w:r>
      <w:r w:rsidR="009A0FAD" w:rsidRPr="009A0FAD">
        <w:rPr>
          <w:rFonts w:asciiTheme="minorHAnsi" w:hAnsiTheme="minorHAnsi" w:cstheme="minorHAnsi"/>
          <w:bCs/>
        </w:rPr>
        <w:t>content</w:t>
      </w:r>
      <w:r w:rsidR="006566BC">
        <w:rPr>
          <w:rFonts w:asciiTheme="minorHAnsi" w:hAnsiTheme="minorHAnsi" w:cstheme="minorHAnsi"/>
          <w:bCs/>
        </w:rPr>
        <w:t xml:space="preserve"> and/or applications</w:t>
      </w:r>
      <w:r w:rsidR="009A0FAD" w:rsidRPr="009A0FAD">
        <w:rPr>
          <w:rFonts w:asciiTheme="minorHAnsi" w:hAnsiTheme="minorHAnsi" w:cstheme="minorHAnsi"/>
          <w:bCs/>
        </w:rPr>
        <w:t xml:space="preserve"> that the </w:t>
      </w:r>
      <w:r w:rsidR="009A0FAD">
        <w:rPr>
          <w:rFonts w:asciiTheme="minorHAnsi" w:hAnsiTheme="minorHAnsi" w:cstheme="minorHAnsi"/>
          <w:bCs/>
        </w:rPr>
        <w:t xml:space="preserve">Board </w:t>
      </w:r>
      <w:r w:rsidR="009A0FAD" w:rsidRPr="009A0FAD">
        <w:rPr>
          <w:rFonts w:asciiTheme="minorHAnsi" w:hAnsiTheme="minorHAnsi" w:cstheme="minorHAnsi"/>
          <w:bCs/>
        </w:rPr>
        <w:t>provides or makes available, directly or through contractual, licensing, or other arrangements</w:t>
      </w:r>
      <w:r>
        <w:rPr>
          <w:rFonts w:asciiTheme="minorHAnsi" w:eastAsia="PMingLiU" w:hAnsiTheme="minorHAnsi" w:cstheme="minorHAnsi"/>
        </w:rPr>
        <w:t>.</w:t>
      </w:r>
    </w:p>
    <w:p w14:paraId="64189E58" w14:textId="44027449" w:rsidR="00AB2A66" w:rsidRPr="00FA799D" w:rsidRDefault="009364D7" w:rsidP="008E5897">
      <w:pPr>
        <w:pStyle w:val="ListParagraph"/>
        <w:widowControl/>
        <w:numPr>
          <w:ilvl w:val="0"/>
          <w:numId w:val="35"/>
        </w:numPr>
        <w:spacing w:after="240"/>
        <w:contextualSpacing w:val="0"/>
        <w:jc w:val="both"/>
        <w:rPr>
          <w:rStyle w:val="Heading2Char"/>
          <w:color w:val="002060"/>
        </w:rPr>
      </w:pPr>
      <w:r w:rsidRPr="00FA799D">
        <w:rPr>
          <w:rStyle w:val="Heading2Char"/>
          <w:color w:val="002060"/>
        </w:rPr>
        <w:t>Policy</w:t>
      </w:r>
    </w:p>
    <w:p w14:paraId="5B0AA829" w14:textId="77777777" w:rsidR="009364D7" w:rsidRPr="009364D7" w:rsidRDefault="009364D7" w:rsidP="00190AEA">
      <w:pPr>
        <w:pStyle w:val="ListParagraph"/>
        <w:widowControl/>
        <w:numPr>
          <w:ilvl w:val="0"/>
          <w:numId w:val="6"/>
        </w:numPr>
        <w:spacing w:after="240"/>
        <w:contextualSpacing w:val="0"/>
        <w:jc w:val="both"/>
        <w:rPr>
          <w:rFonts w:asciiTheme="minorHAnsi" w:eastAsia="PMingLiU" w:hAnsiTheme="minorHAnsi" w:cstheme="minorHAnsi"/>
          <w:b/>
        </w:rPr>
      </w:pPr>
      <w:r>
        <w:rPr>
          <w:rFonts w:asciiTheme="minorHAnsi" w:eastAsia="PMingLiU" w:hAnsiTheme="minorHAnsi" w:cstheme="minorHAnsi"/>
          <w:b/>
        </w:rPr>
        <w:t>Content Standards:</w:t>
      </w:r>
      <w:r>
        <w:rPr>
          <w:rFonts w:asciiTheme="minorHAnsi" w:eastAsia="PMingLiU" w:hAnsiTheme="minorHAnsi" w:cstheme="minorHAnsi"/>
          <w:bCs/>
        </w:rPr>
        <w:t xml:space="preserve"> </w:t>
      </w:r>
    </w:p>
    <w:p w14:paraId="3678B863" w14:textId="4CB32E4B" w:rsidR="00FA799D" w:rsidRDefault="009364D7" w:rsidP="009364D7">
      <w:pPr>
        <w:pStyle w:val="ListParagraph"/>
        <w:widowControl/>
        <w:spacing w:after="240"/>
        <w:ind w:left="1080"/>
        <w:contextualSpacing w:val="0"/>
        <w:jc w:val="both"/>
        <w:rPr>
          <w:rFonts w:asciiTheme="minorHAnsi" w:eastAsia="PMingLiU" w:hAnsiTheme="minorHAnsi" w:cstheme="minorHAnsi"/>
          <w:bCs/>
        </w:rPr>
      </w:pPr>
      <w:r>
        <w:rPr>
          <w:rFonts w:asciiTheme="minorHAnsi" w:eastAsia="PMingLiU" w:hAnsiTheme="minorHAnsi" w:cstheme="minorHAnsi"/>
          <w:bCs/>
        </w:rPr>
        <w:t>At a minimum, all Board Web Properties shall comply with WCAG 2.1, Level AA.</w:t>
      </w:r>
      <w:r w:rsidR="00FA799D">
        <w:rPr>
          <w:rFonts w:asciiTheme="minorHAnsi" w:eastAsia="PMingLiU" w:hAnsiTheme="minorHAnsi" w:cstheme="minorHAnsi"/>
          <w:bCs/>
        </w:rPr>
        <w:br w:type="page"/>
      </w:r>
    </w:p>
    <w:p w14:paraId="2E1F8D5E" w14:textId="71232D75" w:rsidR="00EC2450" w:rsidRPr="00190AEA" w:rsidRDefault="009364D7" w:rsidP="00190AEA">
      <w:pPr>
        <w:pStyle w:val="ListParagraph"/>
        <w:widowControl/>
        <w:numPr>
          <w:ilvl w:val="0"/>
          <w:numId w:val="6"/>
        </w:numPr>
        <w:spacing w:after="24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Accessibility Statement:</w:t>
      </w:r>
    </w:p>
    <w:p w14:paraId="3BA93CF6" w14:textId="7F3A968B" w:rsidR="009364D7" w:rsidRDefault="009364D7" w:rsidP="00190AEA">
      <w:pPr>
        <w:widowControl/>
        <w:spacing w:after="240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shall</w:t>
      </w:r>
      <w:r w:rsidRPr="009364D7">
        <w:rPr>
          <w:rFonts w:asciiTheme="minorHAnsi" w:hAnsiTheme="minorHAnsi" w:cstheme="minorHAnsi"/>
        </w:rPr>
        <w:t xml:space="preserve"> be an Accessibility Statement linked directly from the home page that includes the following:</w:t>
      </w:r>
    </w:p>
    <w:p w14:paraId="7A1303C2" w14:textId="77777777" w:rsidR="009364D7" w:rsidRDefault="009364D7" w:rsidP="009364D7">
      <w:pPr>
        <w:pStyle w:val="Default"/>
        <w:numPr>
          <w:ilvl w:val="0"/>
          <w:numId w:val="36"/>
        </w:numPr>
        <w:rPr>
          <w:sz w:val="23"/>
          <w:szCs w:val="23"/>
        </w:rPr>
      </w:pPr>
      <w:r>
        <w:t xml:space="preserve">A </w:t>
      </w:r>
      <w:r w:rsidRPr="009364D7">
        <w:rPr>
          <w:sz w:val="23"/>
          <w:szCs w:val="23"/>
        </w:rPr>
        <w:t>commitment to making web content accessible for people with disabilities; and</w:t>
      </w:r>
    </w:p>
    <w:p w14:paraId="13F3B2B5" w14:textId="5EF863A1" w:rsidR="009364D7" w:rsidRPr="009364D7" w:rsidRDefault="009364D7" w:rsidP="009364D7">
      <w:pPr>
        <w:pStyle w:val="Default"/>
        <w:ind w:left="1440"/>
        <w:rPr>
          <w:sz w:val="23"/>
          <w:szCs w:val="23"/>
        </w:rPr>
      </w:pPr>
      <w:r w:rsidRPr="009364D7">
        <w:rPr>
          <w:sz w:val="23"/>
          <w:szCs w:val="23"/>
        </w:rPr>
        <w:t xml:space="preserve"> </w:t>
      </w:r>
    </w:p>
    <w:p w14:paraId="0B906FD0" w14:textId="44A73329" w:rsidR="009364D7" w:rsidRPr="00FA799D" w:rsidRDefault="009364D7" w:rsidP="00FA799D">
      <w:pPr>
        <w:pStyle w:val="ListParagraph"/>
        <w:widowControl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9364D7">
        <w:rPr>
          <w:rFonts w:asciiTheme="minorHAnsi" w:hAnsiTheme="minorHAnsi" w:cstheme="minorHAnsi"/>
        </w:rPr>
        <w:t xml:space="preserve">name, email address and telephone number of the Web Accessibility Designee </w:t>
      </w:r>
      <w:r w:rsidR="00FA799D" w:rsidRPr="00FA799D">
        <w:rPr>
          <w:rFonts w:asciiTheme="minorHAnsi" w:hAnsiTheme="minorHAnsi" w:cstheme="minorHAnsi"/>
        </w:rPr>
        <w:t>for the Board, so that people with disabilities know how and whom to contact if</w:t>
      </w:r>
      <w:r w:rsidR="00FA799D">
        <w:rPr>
          <w:rFonts w:asciiTheme="minorHAnsi" w:hAnsiTheme="minorHAnsi" w:cstheme="minorHAnsi"/>
        </w:rPr>
        <w:t xml:space="preserve"> </w:t>
      </w:r>
      <w:r w:rsidR="00FA799D" w:rsidRPr="00FA799D">
        <w:rPr>
          <w:rFonts w:asciiTheme="minorHAnsi" w:hAnsiTheme="minorHAnsi" w:cstheme="minorHAnsi"/>
        </w:rPr>
        <w:t>they experience accessibility issues.</w:t>
      </w:r>
    </w:p>
    <w:p w14:paraId="35005039" w14:textId="77777777" w:rsidR="009364D7" w:rsidRPr="009364D7" w:rsidRDefault="009364D7" w:rsidP="009364D7">
      <w:pPr>
        <w:pStyle w:val="ListParagraph"/>
        <w:rPr>
          <w:rFonts w:asciiTheme="minorHAnsi" w:hAnsiTheme="minorHAnsi" w:cstheme="minorHAnsi"/>
        </w:rPr>
      </w:pPr>
    </w:p>
    <w:p w14:paraId="23F8F5C3" w14:textId="49CFB0F0" w:rsidR="00EC2450" w:rsidRPr="00190AEA" w:rsidRDefault="009364D7" w:rsidP="00190AEA">
      <w:pPr>
        <w:pStyle w:val="ListParagraph"/>
        <w:widowControl/>
        <w:numPr>
          <w:ilvl w:val="0"/>
          <w:numId w:val="6"/>
        </w:numPr>
        <w:spacing w:after="24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Internal Controls</w:t>
      </w:r>
      <w:r w:rsidR="00953823">
        <w:rPr>
          <w:rFonts w:asciiTheme="minorHAnsi" w:hAnsiTheme="minorHAnsi" w:cstheme="minorHAnsi"/>
          <w:b/>
        </w:rPr>
        <w:t>:</w:t>
      </w:r>
    </w:p>
    <w:p w14:paraId="20F906F1" w14:textId="31924D28" w:rsidR="00B9310F" w:rsidRDefault="00C63472" w:rsidP="00190AEA">
      <w:pPr>
        <w:widowControl/>
        <w:spacing w:after="240"/>
        <w:ind w:left="10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the extent practicable and consistent with the </w:t>
      </w:r>
      <w:r w:rsidR="00542E95">
        <w:rPr>
          <w:rFonts w:asciiTheme="minorHAnsi" w:hAnsiTheme="minorHAnsi" w:cstheme="minorHAnsi"/>
          <w:bCs/>
        </w:rPr>
        <w:t>Board</w:t>
      </w:r>
      <w:r>
        <w:rPr>
          <w:rFonts w:asciiTheme="minorHAnsi" w:hAnsiTheme="minorHAnsi" w:cstheme="minorHAnsi"/>
          <w:bCs/>
        </w:rPr>
        <w:t>’s operations</w:t>
      </w:r>
      <w:r w:rsidR="00C6173E">
        <w:rPr>
          <w:rFonts w:asciiTheme="minorHAnsi" w:hAnsiTheme="minorHAnsi" w:cstheme="minorHAnsi"/>
          <w:bCs/>
        </w:rPr>
        <w:t>, appropriations, purpose,</w:t>
      </w:r>
      <w:r>
        <w:rPr>
          <w:rFonts w:asciiTheme="minorHAnsi" w:hAnsiTheme="minorHAnsi" w:cstheme="minorHAnsi"/>
          <w:bCs/>
        </w:rPr>
        <w:t xml:space="preserve"> and organization, the Board</w:t>
      </w:r>
      <w:r w:rsidR="00542E95">
        <w:rPr>
          <w:rFonts w:asciiTheme="minorHAnsi" w:hAnsiTheme="minorHAnsi" w:cstheme="minorHAnsi"/>
          <w:bCs/>
        </w:rPr>
        <w:t xml:space="preserve"> </w:t>
      </w:r>
      <w:r w:rsidR="00542E95" w:rsidRPr="00542E95">
        <w:rPr>
          <w:rFonts w:asciiTheme="minorHAnsi" w:hAnsiTheme="minorHAnsi" w:cstheme="minorHAnsi"/>
          <w:bCs/>
        </w:rPr>
        <w:t>shall adhere to the</w:t>
      </w:r>
      <w:r>
        <w:rPr>
          <w:rFonts w:asciiTheme="minorHAnsi" w:hAnsiTheme="minorHAnsi" w:cstheme="minorHAnsi"/>
          <w:bCs/>
        </w:rPr>
        <w:t xml:space="preserve"> Department of Administration’s</w:t>
      </w:r>
      <w:r w:rsidR="00542E95" w:rsidRPr="00542E95">
        <w:rPr>
          <w:rFonts w:asciiTheme="minorHAnsi" w:hAnsiTheme="minorHAnsi" w:cstheme="minorHAnsi"/>
          <w:bCs/>
        </w:rPr>
        <w:t xml:space="preserve"> Web Accessibility Procedures so that web content is screened, monitored, and corrected as necessary for accessibility.</w:t>
      </w:r>
    </w:p>
    <w:p w14:paraId="5CB0D5A5" w14:textId="1A97BA38" w:rsidR="00953823" w:rsidRPr="00190AEA" w:rsidRDefault="00953823" w:rsidP="00953823">
      <w:pPr>
        <w:pStyle w:val="ListParagraph"/>
        <w:widowControl/>
        <w:numPr>
          <w:ilvl w:val="0"/>
          <w:numId w:val="6"/>
        </w:numPr>
        <w:spacing w:after="24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Responsibilities:</w:t>
      </w:r>
    </w:p>
    <w:p w14:paraId="53BBA525" w14:textId="77777777" w:rsidR="00843A2D" w:rsidRDefault="00843A2D" w:rsidP="00843A2D">
      <w:pPr>
        <w:pStyle w:val="ListParagraph"/>
        <w:widowControl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Webmaster</w:t>
      </w:r>
    </w:p>
    <w:p w14:paraId="78A1E9F2" w14:textId="77777777" w:rsidR="00A04E59" w:rsidRDefault="00A04E59" w:rsidP="00A04E59">
      <w:pPr>
        <w:pStyle w:val="ListParagraph"/>
        <w:widowControl/>
        <w:spacing w:after="240"/>
        <w:ind w:left="1440"/>
        <w:jc w:val="both"/>
        <w:rPr>
          <w:rFonts w:asciiTheme="minorHAnsi" w:hAnsiTheme="minorHAnsi" w:cstheme="minorHAnsi"/>
          <w:bCs/>
        </w:rPr>
      </w:pPr>
    </w:p>
    <w:p w14:paraId="37569D25" w14:textId="1CCF31F1" w:rsidR="00843A2D" w:rsidRDefault="00843A2D" w:rsidP="00843A2D">
      <w:pPr>
        <w:pStyle w:val="ListParagraph"/>
        <w:widowControl/>
        <w:spacing w:after="240"/>
        <w:ind w:left="1440"/>
        <w:jc w:val="both"/>
        <w:rPr>
          <w:rFonts w:asciiTheme="minorHAnsi" w:hAnsiTheme="minorHAnsi" w:cstheme="minorHAnsi"/>
          <w:bCs/>
        </w:rPr>
      </w:pPr>
      <w:r w:rsidRPr="00843A2D">
        <w:rPr>
          <w:rFonts w:asciiTheme="minorHAnsi" w:hAnsiTheme="minorHAnsi" w:cstheme="minorHAnsi"/>
          <w:bCs/>
        </w:rPr>
        <w:t xml:space="preserve">The Board may identify its Webmaster responsible for publishing content and ensuring accessibility at </w:t>
      </w:r>
      <w:hyperlink r:id="rId10" w:history="1">
        <w:r w:rsidRPr="00FA799D">
          <w:rPr>
            <w:rStyle w:val="Hyperlink"/>
            <w:rFonts w:asciiTheme="minorHAnsi" w:hAnsiTheme="minorHAnsi" w:cstheme="minorHAnsi"/>
            <w:bCs/>
            <w:color w:val="002060"/>
          </w:rPr>
          <w:t>https://labta.la.gov/contact-us.html</w:t>
        </w:r>
      </w:hyperlink>
      <w:r w:rsidRPr="00FA799D">
        <w:rPr>
          <w:rFonts w:asciiTheme="minorHAnsi" w:hAnsiTheme="minorHAnsi" w:cstheme="minorHAnsi"/>
          <w:bCs/>
          <w:color w:val="002060"/>
        </w:rPr>
        <w:t xml:space="preserve">. </w:t>
      </w:r>
    </w:p>
    <w:p w14:paraId="0C8C21DF" w14:textId="25741A6A" w:rsidR="008C30DF" w:rsidRPr="00FA799D" w:rsidRDefault="008C30DF" w:rsidP="000A1141">
      <w:pPr>
        <w:pStyle w:val="Heading2"/>
        <w:spacing w:before="0" w:after="240"/>
        <w:rPr>
          <w:color w:val="002060"/>
        </w:rPr>
      </w:pPr>
      <w:r w:rsidRPr="00FA799D">
        <w:rPr>
          <w:color w:val="002060"/>
        </w:rPr>
        <w:t>VI.</w:t>
      </w:r>
      <w:r w:rsidRPr="00FA799D">
        <w:rPr>
          <w:color w:val="002060"/>
        </w:rPr>
        <w:tab/>
        <w:t>Q</w:t>
      </w:r>
      <w:r w:rsidR="00C63472" w:rsidRPr="00FA799D">
        <w:rPr>
          <w:color w:val="002060"/>
        </w:rPr>
        <w:t>uestions</w:t>
      </w:r>
    </w:p>
    <w:p w14:paraId="3F3E58B2" w14:textId="0A2C7F2E" w:rsidR="00EB5B6B" w:rsidRDefault="00C63472" w:rsidP="00C63472">
      <w:pPr>
        <w:widowControl/>
        <w:spacing w:after="240"/>
        <w:ind w:left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Questions regarding this policy should be directed </w:t>
      </w:r>
      <w:r w:rsidR="00500E91" w:rsidRPr="00301392">
        <w:rPr>
          <w:rFonts w:asciiTheme="minorHAnsi" w:hAnsiTheme="minorHAnsi" w:cstheme="minorHAnsi"/>
          <w:bCs/>
        </w:rPr>
        <w:t>to</w:t>
      </w:r>
      <w:r w:rsidR="00AD12BF" w:rsidRPr="00301392">
        <w:rPr>
          <w:rFonts w:asciiTheme="minorHAnsi" w:hAnsiTheme="minorHAnsi" w:cstheme="minorHAnsi"/>
          <w:bCs/>
        </w:rPr>
        <w:t xml:space="preserve"> the</w:t>
      </w:r>
      <w:r w:rsidR="00994E99" w:rsidRPr="00301392">
        <w:rPr>
          <w:rFonts w:asciiTheme="minorHAnsi" w:hAnsiTheme="minorHAnsi" w:cstheme="minorHAnsi"/>
          <w:bCs/>
        </w:rPr>
        <w:t xml:space="preserve"> </w:t>
      </w:r>
      <w:r w:rsidR="00C8464D">
        <w:rPr>
          <w:rFonts w:asciiTheme="minorHAnsi" w:hAnsiTheme="minorHAnsi" w:cstheme="minorHAnsi"/>
          <w:b/>
          <w:bCs/>
        </w:rPr>
        <w:t>Secretary-Clerk</w:t>
      </w:r>
      <w:r w:rsidR="00AD12BF" w:rsidRPr="00301392">
        <w:rPr>
          <w:rFonts w:asciiTheme="minorHAnsi" w:hAnsiTheme="minorHAnsi" w:cstheme="minorHAnsi"/>
          <w:b/>
          <w:bCs/>
        </w:rPr>
        <w:t xml:space="preserve">, </w:t>
      </w:r>
      <w:r w:rsidR="00C8464D">
        <w:rPr>
          <w:rFonts w:asciiTheme="minorHAnsi" w:hAnsiTheme="minorHAnsi" w:cstheme="minorHAnsi"/>
          <w:b/>
          <w:bCs/>
        </w:rPr>
        <w:t>Donnielle Massingill</w:t>
      </w:r>
      <w:r w:rsidR="00753381" w:rsidRPr="00301392">
        <w:rPr>
          <w:rFonts w:asciiTheme="minorHAnsi" w:hAnsiTheme="minorHAnsi" w:cstheme="minorHAnsi"/>
          <w:bCs/>
        </w:rPr>
        <w:t>,</w:t>
      </w:r>
      <w:r w:rsidR="00994E99" w:rsidRPr="00301392">
        <w:rPr>
          <w:rFonts w:asciiTheme="minorHAnsi" w:hAnsiTheme="minorHAnsi" w:cstheme="minorHAnsi"/>
          <w:bCs/>
        </w:rPr>
        <w:t xml:space="preserve"> by writing to: </w:t>
      </w:r>
      <w:r w:rsidR="00C8464D">
        <w:rPr>
          <w:rFonts w:asciiTheme="minorHAnsi" w:hAnsiTheme="minorHAnsi" w:cstheme="minorHAnsi"/>
          <w:b/>
          <w:bCs/>
        </w:rPr>
        <w:t>Board of Tax Appeals, PO Box 3217, Baton Rouge LA 70821</w:t>
      </w:r>
      <w:r w:rsidR="00994E99" w:rsidRPr="00301392">
        <w:rPr>
          <w:rFonts w:asciiTheme="minorHAnsi" w:hAnsiTheme="minorHAnsi" w:cstheme="minorHAnsi"/>
          <w:bCs/>
        </w:rPr>
        <w:t xml:space="preserve">; or calling </w:t>
      </w:r>
      <w:r w:rsidR="00994E99" w:rsidRPr="00301392">
        <w:rPr>
          <w:rFonts w:asciiTheme="minorHAnsi" w:hAnsiTheme="minorHAnsi" w:cstheme="minorHAnsi"/>
          <w:b/>
          <w:bCs/>
        </w:rPr>
        <w:t xml:space="preserve">(225) </w:t>
      </w:r>
      <w:r w:rsidR="00C8464D">
        <w:rPr>
          <w:rFonts w:asciiTheme="minorHAnsi" w:hAnsiTheme="minorHAnsi" w:cstheme="minorHAnsi"/>
          <w:b/>
          <w:bCs/>
        </w:rPr>
        <w:t>219</w:t>
      </w:r>
      <w:r w:rsidR="00994E99" w:rsidRPr="00301392">
        <w:rPr>
          <w:rFonts w:asciiTheme="minorHAnsi" w:hAnsiTheme="minorHAnsi" w:cstheme="minorHAnsi"/>
          <w:b/>
          <w:bCs/>
        </w:rPr>
        <w:t>-</w:t>
      </w:r>
      <w:r w:rsidR="00C8464D">
        <w:rPr>
          <w:rFonts w:asciiTheme="minorHAnsi" w:hAnsiTheme="minorHAnsi" w:cstheme="minorHAnsi"/>
          <w:b/>
          <w:bCs/>
        </w:rPr>
        <w:t>3145</w:t>
      </w:r>
      <w:r w:rsidR="00994E99" w:rsidRPr="00301392">
        <w:rPr>
          <w:rFonts w:asciiTheme="minorHAnsi" w:hAnsiTheme="minorHAnsi" w:cstheme="minorHAnsi"/>
          <w:bCs/>
        </w:rPr>
        <w:t>.</w:t>
      </w:r>
    </w:p>
    <w:p w14:paraId="55DD7D27" w14:textId="77777777" w:rsidR="00EB5B6B" w:rsidRPr="00C16243" w:rsidRDefault="00126C95" w:rsidP="007C0F89">
      <w:pPr>
        <w:widowControl/>
        <w:spacing w:after="240"/>
        <w:jc w:val="both"/>
        <w:rPr>
          <w:rFonts w:ascii="Calibri" w:hAnsi="Calibri" w:cs="Calibri"/>
          <w:b/>
        </w:rPr>
      </w:pPr>
      <w:r w:rsidRPr="00C16243">
        <w:rPr>
          <w:rFonts w:ascii="Calibri" w:hAnsi="Calibri" w:cs="Calibri"/>
          <w:b/>
        </w:rPr>
        <w:t>AUTHORIZED BY</w:t>
      </w:r>
      <w:r w:rsidR="00EB5B6B" w:rsidRPr="00C16243">
        <w:rPr>
          <w:rFonts w:ascii="Calibri" w:hAnsi="Calibri" w:cs="Calibri"/>
          <w:b/>
        </w:rPr>
        <w:t>:</w:t>
      </w:r>
    </w:p>
    <w:p w14:paraId="2D172EDD" w14:textId="349D1029" w:rsidR="00C16243" w:rsidRDefault="00C8464D" w:rsidP="00A04E59">
      <w:pPr>
        <w:widowControl/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Chairman Francis J. “Jay” Lobrano</w:t>
      </w:r>
    </w:p>
    <w:p w14:paraId="6D6DAB20" w14:textId="0F6658FE" w:rsidR="009B17D1" w:rsidRPr="00C16243" w:rsidRDefault="00EB5B6B" w:rsidP="00A04E59">
      <w:pPr>
        <w:widowControl/>
        <w:jc w:val="both"/>
        <w:rPr>
          <w:rFonts w:ascii="Calibri" w:hAnsi="Calibri" w:cs="Calibri"/>
          <w:b/>
        </w:rPr>
      </w:pPr>
      <w:r w:rsidRPr="00C16243">
        <w:rPr>
          <w:rFonts w:ascii="Calibri" w:hAnsi="Calibri" w:cs="Calibri"/>
          <w:b/>
        </w:rPr>
        <w:t>DATE</w:t>
      </w:r>
      <w:r w:rsidR="00C16243">
        <w:rPr>
          <w:rFonts w:ascii="Calibri" w:hAnsi="Calibri" w:cs="Calibri"/>
          <w:b/>
        </w:rPr>
        <w:t>:</w:t>
      </w:r>
      <w:r w:rsidR="00C8464D">
        <w:rPr>
          <w:rFonts w:ascii="Calibri" w:hAnsi="Calibri" w:cs="Calibri"/>
          <w:b/>
        </w:rPr>
        <w:tab/>
      </w:r>
      <w:r w:rsidR="00FA799D">
        <w:rPr>
          <w:rFonts w:ascii="Calibri" w:hAnsi="Calibri" w:cs="Calibri"/>
          <w:b/>
        </w:rPr>
        <w:t>3/31/2026</w:t>
      </w:r>
    </w:p>
    <w:sectPr w:rsidR="009B17D1" w:rsidRPr="00C16243" w:rsidSect="00C6173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20160" w:code="5"/>
      <w:pgMar w:top="1440" w:right="1440" w:bottom="1080" w:left="1440" w:header="144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B1EE" w14:textId="77777777" w:rsidR="009C77F5" w:rsidRDefault="009C77F5" w:rsidP="001307CD">
      <w:r>
        <w:separator/>
      </w:r>
    </w:p>
  </w:endnote>
  <w:endnote w:type="continuationSeparator" w:id="0">
    <w:p w14:paraId="5BB5DEF2" w14:textId="77777777" w:rsidR="009C77F5" w:rsidRDefault="009C77F5" w:rsidP="0013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/>
      </w:rPr>
      <w:id w:val="-1669238322"/>
      <w:docPartObj>
        <w:docPartGallery w:val="Page Numbers (Top of Page)"/>
        <w:docPartUnique/>
      </w:docPartObj>
    </w:sdtPr>
    <w:sdtEndPr/>
    <w:sdtContent>
      <w:p w14:paraId="3960EC62" w14:textId="77777777" w:rsidR="00E47723" w:rsidRDefault="00FD3A55">
        <w:pPr>
          <w:pStyle w:val="Footer"/>
          <w:jc w:val="center"/>
          <w:rPr>
            <w:rFonts w:asciiTheme="minorHAnsi" w:hAnsiTheme="minorHAnsi" w:cstheme="minorHAnsi"/>
            <w:b/>
            <w:bCs/>
          </w:rPr>
        </w:pPr>
        <w:r w:rsidRPr="00244F0A">
          <w:rPr>
            <w:rFonts w:asciiTheme="minorHAnsi" w:hAnsiTheme="minorHAnsi" w:cstheme="minorHAnsi"/>
            <w:b/>
          </w:rPr>
          <w:t xml:space="preserve">PAGE </w:t>
        </w:r>
        <w:r w:rsidRPr="00244F0A">
          <w:rPr>
            <w:rFonts w:asciiTheme="minorHAnsi" w:hAnsiTheme="minorHAnsi" w:cstheme="minorHAnsi"/>
            <w:b/>
            <w:bCs/>
          </w:rPr>
          <w:fldChar w:fldCharType="begin"/>
        </w:r>
        <w:r w:rsidRPr="00244F0A">
          <w:rPr>
            <w:rFonts w:asciiTheme="minorHAnsi" w:hAnsiTheme="minorHAnsi" w:cstheme="minorHAnsi"/>
            <w:b/>
            <w:bCs/>
          </w:rPr>
          <w:instrText xml:space="preserve"> PAGE </w:instrText>
        </w:r>
        <w:r w:rsidRPr="00244F0A">
          <w:rPr>
            <w:rFonts w:asciiTheme="minorHAnsi" w:hAnsiTheme="minorHAnsi" w:cstheme="minorHAnsi"/>
            <w:b/>
            <w:bCs/>
          </w:rPr>
          <w:fldChar w:fldCharType="separate"/>
        </w:r>
        <w:r w:rsidR="00301392">
          <w:rPr>
            <w:rFonts w:asciiTheme="minorHAnsi" w:hAnsiTheme="minorHAnsi" w:cstheme="minorHAnsi"/>
            <w:b/>
            <w:bCs/>
            <w:noProof/>
          </w:rPr>
          <w:t>1</w:t>
        </w:r>
        <w:r w:rsidRPr="00244F0A">
          <w:rPr>
            <w:rFonts w:asciiTheme="minorHAnsi" w:hAnsiTheme="minorHAnsi" w:cstheme="minorHAnsi"/>
            <w:b/>
            <w:bCs/>
          </w:rPr>
          <w:fldChar w:fldCharType="end"/>
        </w:r>
        <w:r w:rsidRPr="00244F0A">
          <w:rPr>
            <w:rFonts w:asciiTheme="minorHAnsi" w:hAnsiTheme="minorHAnsi" w:cstheme="minorHAnsi"/>
            <w:b/>
          </w:rPr>
          <w:t xml:space="preserve"> OF </w:t>
        </w:r>
        <w:r w:rsidRPr="00244F0A">
          <w:rPr>
            <w:rFonts w:asciiTheme="minorHAnsi" w:hAnsiTheme="minorHAnsi" w:cstheme="minorHAnsi"/>
            <w:b/>
            <w:bCs/>
          </w:rPr>
          <w:fldChar w:fldCharType="begin"/>
        </w:r>
        <w:r w:rsidRPr="00244F0A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Pr="00244F0A">
          <w:rPr>
            <w:rFonts w:asciiTheme="minorHAnsi" w:hAnsiTheme="minorHAnsi" w:cstheme="minorHAnsi"/>
            <w:b/>
            <w:bCs/>
          </w:rPr>
          <w:fldChar w:fldCharType="separate"/>
        </w:r>
        <w:r w:rsidR="00301392">
          <w:rPr>
            <w:rFonts w:asciiTheme="minorHAnsi" w:hAnsiTheme="minorHAnsi" w:cstheme="minorHAnsi"/>
            <w:b/>
            <w:bCs/>
            <w:noProof/>
          </w:rPr>
          <w:t>8</w:t>
        </w:r>
        <w:r w:rsidRPr="00244F0A">
          <w:rPr>
            <w:rFonts w:asciiTheme="minorHAnsi" w:hAnsiTheme="minorHAnsi" w:cstheme="minorHAnsi"/>
            <w:b/>
            <w:bCs/>
          </w:rPr>
          <w:fldChar w:fldCharType="end"/>
        </w:r>
      </w:p>
      <w:p w14:paraId="2E9BF950" w14:textId="771B64BC" w:rsidR="00FD3A55" w:rsidRPr="00E47723" w:rsidRDefault="00E47723" w:rsidP="00E47723">
        <w:pPr>
          <w:pStyle w:val="Footer"/>
          <w:jc w:val="center"/>
          <w:rPr>
            <w:rFonts w:ascii="Calibri" w:hAnsi="Calibri" w:cs="Calibri"/>
            <w:sz w:val="22"/>
            <w:szCs w:val="22"/>
          </w:rPr>
        </w:pPr>
        <w:r w:rsidRPr="00C6173E">
          <w:rPr>
            <w:rFonts w:ascii="Calibri" w:hAnsi="Calibri" w:cs="Calibri"/>
            <w:sz w:val="22"/>
            <w:szCs w:val="22"/>
          </w:rPr>
          <w:t xml:space="preserve">P. O. Box 3217, Baton Rouge, LA 70821 | 627 N. </w:t>
        </w:r>
        <w:r>
          <w:rPr>
            <w:rFonts w:ascii="Calibri" w:hAnsi="Calibri" w:cs="Calibri"/>
            <w:sz w:val="22"/>
            <w:szCs w:val="22"/>
          </w:rPr>
          <w:t>4</w:t>
        </w:r>
        <w:r w:rsidRPr="00C6173E">
          <w:rPr>
            <w:rFonts w:ascii="Calibri" w:hAnsi="Calibri" w:cs="Calibri"/>
            <w:sz w:val="22"/>
            <w:szCs w:val="22"/>
            <w:vertAlign w:val="superscript"/>
          </w:rPr>
          <w:t>th</w:t>
        </w:r>
        <w:r>
          <w:rPr>
            <w:rFonts w:ascii="Calibri" w:hAnsi="Calibri" w:cs="Calibri"/>
            <w:sz w:val="22"/>
            <w:szCs w:val="22"/>
          </w:rPr>
          <w:t xml:space="preserve"> </w:t>
        </w:r>
        <w:r w:rsidRPr="00C6173E">
          <w:rPr>
            <w:rFonts w:ascii="Calibri" w:hAnsi="Calibri" w:cs="Calibri"/>
            <w:sz w:val="22"/>
            <w:szCs w:val="22"/>
          </w:rPr>
          <w:t>St., Iberville State Building, Baton Rouge, LA 70802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F25A" w14:textId="4C4DC813" w:rsidR="00C6173E" w:rsidRPr="00C6173E" w:rsidRDefault="00C6173E" w:rsidP="00C6173E">
    <w:pPr>
      <w:pStyle w:val="Footer"/>
      <w:jc w:val="center"/>
      <w:rPr>
        <w:rFonts w:ascii="Calibri" w:hAnsi="Calibri" w:cs="Calibri"/>
        <w:sz w:val="22"/>
        <w:szCs w:val="22"/>
      </w:rPr>
    </w:pPr>
    <w:r w:rsidRPr="00C6173E">
      <w:rPr>
        <w:rFonts w:ascii="Calibri" w:hAnsi="Calibri" w:cs="Calibri"/>
        <w:sz w:val="22"/>
        <w:szCs w:val="22"/>
      </w:rPr>
      <w:t xml:space="preserve">P. O. Box 3217, Baton Rouge, LA 70821 | 627 N. </w:t>
    </w:r>
    <w:r>
      <w:rPr>
        <w:rFonts w:ascii="Calibri" w:hAnsi="Calibri" w:cs="Calibri"/>
        <w:sz w:val="22"/>
        <w:szCs w:val="22"/>
      </w:rPr>
      <w:t>4</w:t>
    </w:r>
    <w:r w:rsidRPr="00C6173E">
      <w:rPr>
        <w:rFonts w:ascii="Calibri" w:hAnsi="Calibri" w:cs="Calibri"/>
        <w:sz w:val="22"/>
        <w:szCs w:val="22"/>
        <w:vertAlign w:val="superscript"/>
      </w:rPr>
      <w:t>th</w:t>
    </w:r>
    <w:r>
      <w:rPr>
        <w:rFonts w:ascii="Calibri" w:hAnsi="Calibri" w:cs="Calibri"/>
        <w:sz w:val="22"/>
        <w:szCs w:val="22"/>
      </w:rPr>
      <w:t xml:space="preserve"> </w:t>
    </w:r>
    <w:r w:rsidRPr="00C6173E">
      <w:rPr>
        <w:rFonts w:ascii="Calibri" w:hAnsi="Calibri" w:cs="Calibri"/>
        <w:sz w:val="22"/>
        <w:szCs w:val="22"/>
      </w:rPr>
      <w:t>St., Iberville State Building, Baton Rouge, LA 70802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5887" w14:textId="77777777" w:rsidR="009C77F5" w:rsidRDefault="009C77F5" w:rsidP="001307CD">
      <w:r>
        <w:separator/>
      </w:r>
    </w:p>
  </w:footnote>
  <w:footnote w:type="continuationSeparator" w:id="0">
    <w:p w14:paraId="3F5983D8" w14:textId="77777777" w:rsidR="009C77F5" w:rsidRDefault="009C77F5" w:rsidP="0013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14BD" w14:textId="77777777" w:rsidR="001E27FF" w:rsidRPr="001E27FF" w:rsidRDefault="001E27FF" w:rsidP="001E27FF">
    <w:pPr>
      <w:widowControl/>
      <w:autoSpaceDE/>
      <w:autoSpaceDN/>
      <w:adjustRightInd/>
      <w:jc w:val="both"/>
      <w:rPr>
        <w:rFonts w:asciiTheme="minorHAnsi" w:eastAsia="Times New Roman" w:hAnsiTheme="minorHAnsi" w:cstheme="minorHAnsi"/>
        <w:spacing w:val="-5"/>
        <w:sz w:val="1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8750" w14:textId="77777777" w:rsidR="00C8464D" w:rsidRPr="001E27FF" w:rsidRDefault="00C8464D" w:rsidP="00C8464D">
    <w:pPr>
      <w:autoSpaceDE/>
      <w:autoSpaceDN/>
      <w:adjustRightInd/>
      <w:ind w:left="-720" w:right="-810"/>
      <w:jc w:val="center"/>
      <w:rPr>
        <w:rFonts w:asciiTheme="minorHAnsi" w:eastAsia="Times New Roman" w:hAnsiTheme="minorHAnsi" w:cstheme="minorHAnsi"/>
        <w:b/>
        <w:snapToGrid w:val="0"/>
        <w:sz w:val="28"/>
        <w:szCs w:val="20"/>
      </w:rPr>
    </w:pPr>
    <w:bookmarkStart w:id="2" w:name="_Hlk219188395"/>
    <w:bookmarkStart w:id="3" w:name="_Hlk219188396"/>
    <w:r w:rsidRPr="001E27FF">
      <w:rPr>
        <w:rFonts w:asciiTheme="minorHAnsi" w:eastAsia="Times New Roman" w:hAnsiTheme="minorHAnsi" w:cstheme="minorHAnsi"/>
        <w:b/>
        <w:noProof/>
        <w:snapToGrid w:val="0"/>
        <w:sz w:val="36"/>
        <w:szCs w:val="20"/>
      </w:rPr>
      <w:drawing>
        <wp:anchor distT="0" distB="0" distL="114300" distR="114300" simplePos="0" relativeHeight="251659264" behindDoc="0" locked="0" layoutInCell="1" allowOverlap="0" wp14:anchorId="4E2CD82B" wp14:editId="1A741AE9">
          <wp:simplePos x="0" y="0"/>
          <wp:positionH relativeFrom="column">
            <wp:posOffset>552450</wp:posOffset>
          </wp:positionH>
          <wp:positionV relativeFrom="paragraph">
            <wp:posOffset>-47625</wp:posOffset>
          </wp:positionV>
          <wp:extent cx="857250" cy="819150"/>
          <wp:effectExtent l="0" t="0" r="6350" b="0"/>
          <wp:wrapNone/>
          <wp:docPr id="7" name="Picture 7" descr="A circular seal with an outer ring containing text that states State of Louisiana, Board of Tax Appeals. The inside of the seal contains text that states Union, Justice, Confidence, showing a pelic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circular seal with an outer ring containing text that states State of Louisiana, Board of Tax Appeals. The inside of the seal contains text that states Union, Justice, Confidence, showing a pelic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FF">
      <w:rPr>
        <w:rFonts w:asciiTheme="minorHAnsi" w:eastAsia="Times New Roman" w:hAnsiTheme="minorHAnsi" w:cstheme="minorHAnsi"/>
        <w:b/>
        <w:snapToGrid w:val="0"/>
        <w:sz w:val="28"/>
        <w:szCs w:val="20"/>
      </w:rPr>
      <w:t>STATE OF LOUISIANA</w:t>
    </w:r>
  </w:p>
  <w:p w14:paraId="1B621408" w14:textId="77777777" w:rsidR="00C8464D" w:rsidRPr="001E27FF" w:rsidRDefault="00C8464D" w:rsidP="00C8464D">
    <w:pPr>
      <w:autoSpaceDE/>
      <w:autoSpaceDN/>
      <w:adjustRightInd/>
      <w:ind w:left="-720" w:right="-810"/>
      <w:jc w:val="center"/>
      <w:rPr>
        <w:rFonts w:asciiTheme="minorHAnsi" w:eastAsia="Times New Roman" w:hAnsiTheme="minorHAnsi" w:cstheme="minorHAnsi"/>
        <w:b/>
        <w:snapToGrid w:val="0"/>
        <w:sz w:val="28"/>
        <w:szCs w:val="20"/>
      </w:rPr>
    </w:pPr>
    <w:r w:rsidRPr="001E27FF">
      <w:rPr>
        <w:rFonts w:asciiTheme="minorHAnsi" w:eastAsia="Times New Roman" w:hAnsiTheme="minorHAnsi" w:cstheme="minorHAnsi"/>
        <w:b/>
        <w:snapToGrid w:val="0"/>
        <w:sz w:val="28"/>
        <w:szCs w:val="20"/>
      </w:rPr>
      <w:t>BOARD OF TAX APPEALS</w:t>
    </w:r>
  </w:p>
  <w:p w14:paraId="1CA73613" w14:textId="77777777" w:rsidR="00C8464D" w:rsidRPr="001E27FF" w:rsidRDefault="00C8464D" w:rsidP="00C8464D">
    <w:pPr>
      <w:widowControl/>
      <w:autoSpaceDE/>
      <w:autoSpaceDN/>
      <w:adjustRightInd/>
      <w:jc w:val="both"/>
      <w:rPr>
        <w:rFonts w:asciiTheme="minorHAnsi" w:eastAsia="Times New Roman" w:hAnsiTheme="minorHAnsi" w:cstheme="minorHAnsi"/>
        <w:spacing w:val="-5"/>
        <w:sz w:val="20"/>
        <w:szCs w:val="20"/>
      </w:rPr>
    </w:pPr>
  </w:p>
  <w:p w14:paraId="55D22F19" w14:textId="352C4CE8" w:rsidR="00C8464D" w:rsidRPr="001E27FF" w:rsidRDefault="00C8464D" w:rsidP="00C8464D">
    <w:pPr>
      <w:widowControl/>
      <w:autoSpaceDE/>
      <w:autoSpaceDN/>
      <w:adjustRightInd/>
      <w:jc w:val="right"/>
      <w:rPr>
        <w:rFonts w:asciiTheme="minorHAnsi" w:eastAsia="Times New Roman" w:hAnsiTheme="minorHAnsi" w:cstheme="minorHAnsi"/>
        <w:spacing w:val="-5"/>
        <w:sz w:val="18"/>
        <w:szCs w:val="18"/>
      </w:rPr>
    </w:pPr>
    <w:r w:rsidRPr="001E27FF">
      <w:rPr>
        <w:rFonts w:asciiTheme="minorHAnsi" w:eastAsia="Times New Roman" w:hAnsiTheme="minorHAnsi" w:cstheme="minorHAnsi"/>
        <w:spacing w:val="-5"/>
        <w:sz w:val="18"/>
        <w:szCs w:val="18"/>
      </w:rPr>
      <w:t xml:space="preserve"> </w:t>
    </w:r>
  </w:p>
  <w:p w14:paraId="7B65B4C2" w14:textId="190656FB" w:rsidR="00C8464D" w:rsidRPr="001E27FF" w:rsidRDefault="00C8464D" w:rsidP="00C8464D">
    <w:pPr>
      <w:widowControl/>
      <w:autoSpaceDE/>
      <w:autoSpaceDN/>
      <w:adjustRightInd/>
      <w:jc w:val="right"/>
      <w:rPr>
        <w:rFonts w:asciiTheme="minorHAnsi" w:eastAsia="Times New Roman" w:hAnsiTheme="minorHAnsi" w:cstheme="minorHAnsi"/>
        <w:spacing w:val="-5"/>
        <w:sz w:val="18"/>
        <w:szCs w:val="17"/>
      </w:rPr>
    </w:pPr>
    <w:r w:rsidRPr="001E27FF">
      <w:rPr>
        <w:rFonts w:asciiTheme="minorHAnsi" w:eastAsia="Times New Roman" w:hAnsiTheme="minorHAnsi" w:cstheme="minorHAnsi"/>
        <w:spacing w:val="-5"/>
        <w:sz w:val="18"/>
        <w:szCs w:val="17"/>
      </w:rPr>
      <w:t xml:space="preserve">  </w:t>
    </w:r>
  </w:p>
  <w:p w14:paraId="5BA84D7C" w14:textId="4EF4034B" w:rsidR="00C6173E" w:rsidRPr="001E27FF" w:rsidRDefault="00C8464D" w:rsidP="00C6173E">
    <w:pPr>
      <w:widowControl/>
      <w:autoSpaceDE/>
      <w:autoSpaceDN/>
      <w:adjustRightInd/>
      <w:jc w:val="both"/>
      <w:rPr>
        <w:rFonts w:asciiTheme="minorHAnsi" w:eastAsia="Times New Roman" w:hAnsiTheme="minorHAnsi" w:cstheme="minorHAnsi"/>
        <w:spacing w:val="-5"/>
        <w:sz w:val="18"/>
        <w:szCs w:val="17"/>
      </w:rPr>
    </w:pP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 xml:space="preserve">        </w:t>
    </w:r>
    <w:r>
      <w:rPr>
        <w:rFonts w:asciiTheme="minorHAnsi" w:eastAsia="Times New Roman" w:hAnsiTheme="minorHAnsi" w:cstheme="minorHAnsi"/>
        <w:spacing w:val="-5"/>
        <w:sz w:val="16"/>
        <w:szCs w:val="20"/>
      </w:rPr>
      <w:t xml:space="preserve"> </w:t>
    </w: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 xml:space="preserve"> FRANCIS J. “JAY” LOBRANO</w:t>
    </w: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 w:rsidRPr="001E27FF">
      <w:rPr>
        <w:rFonts w:asciiTheme="minorHAnsi" w:eastAsia="Times New Roman" w:hAnsiTheme="minorHAnsi" w:cstheme="minorHAnsi"/>
        <w:spacing w:val="-5"/>
        <w:sz w:val="18"/>
        <w:szCs w:val="18"/>
      </w:rPr>
      <w:t>TELEPHONE (225) 219-3145</w:t>
    </w: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ab/>
      <w:t>Chairman &amp; Local Tax Judge</w:t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>
      <w:rPr>
        <w:rFonts w:asciiTheme="minorHAnsi" w:eastAsia="Times New Roman" w:hAnsiTheme="minorHAnsi" w:cstheme="minorHAnsi"/>
        <w:spacing w:val="-5"/>
        <w:sz w:val="16"/>
        <w:szCs w:val="20"/>
      </w:rPr>
      <w:tab/>
    </w:r>
    <w:r w:rsidR="00C6173E" w:rsidRPr="001E27FF">
      <w:rPr>
        <w:rFonts w:asciiTheme="minorHAnsi" w:eastAsia="Times New Roman" w:hAnsiTheme="minorHAnsi" w:cstheme="minorHAnsi"/>
        <w:spacing w:val="-5"/>
        <w:sz w:val="18"/>
        <w:szCs w:val="17"/>
      </w:rPr>
      <w:t>FAX (225) 219-3150</w:t>
    </w:r>
  </w:p>
  <w:p w14:paraId="762AEF22" w14:textId="2F1DCFEF" w:rsidR="00C8464D" w:rsidRPr="001E27FF" w:rsidRDefault="00C6173E" w:rsidP="00C8464D">
    <w:pPr>
      <w:widowControl/>
      <w:autoSpaceDE/>
      <w:autoSpaceDN/>
      <w:adjustRightInd/>
      <w:jc w:val="both"/>
      <w:rPr>
        <w:rFonts w:asciiTheme="minorHAnsi" w:eastAsia="Times New Roman" w:hAnsiTheme="minorHAnsi" w:cstheme="minorHAnsi"/>
        <w:spacing w:val="-5"/>
        <w:sz w:val="16"/>
        <w:szCs w:val="20"/>
      </w:rPr>
    </w:pPr>
    <w:r>
      <w:rPr>
        <w:rFonts w:asciiTheme="minorHAnsi" w:eastAsia="Times New Roman" w:hAnsiTheme="minorHAnsi" w:cstheme="minorHAnsi"/>
        <w:spacing w:val="-5"/>
        <w:sz w:val="17"/>
        <w:szCs w:val="17"/>
      </w:rPr>
      <w:t xml:space="preserve">     J</w:t>
    </w:r>
    <w:r w:rsidR="00C8464D" w:rsidRPr="001E27FF">
      <w:rPr>
        <w:rFonts w:asciiTheme="minorHAnsi" w:eastAsia="Times New Roman" w:hAnsiTheme="minorHAnsi" w:cstheme="minorHAnsi"/>
        <w:spacing w:val="-5"/>
        <w:sz w:val="17"/>
        <w:szCs w:val="17"/>
      </w:rPr>
      <w:t>UDGE LISA WOODRUFF-WHITE (RET.)</w:t>
    </w:r>
    <w:r>
      <w:rPr>
        <w:rFonts w:asciiTheme="minorHAnsi" w:eastAsia="Times New Roman" w:hAnsiTheme="minorHAnsi" w:cstheme="minorHAnsi"/>
        <w:spacing w:val="-5"/>
        <w:sz w:val="17"/>
        <w:szCs w:val="17"/>
      </w:rPr>
      <w:tab/>
    </w:r>
    <w:r>
      <w:rPr>
        <w:rFonts w:asciiTheme="minorHAnsi" w:eastAsia="Times New Roman" w:hAnsiTheme="minorHAnsi" w:cstheme="minorHAnsi"/>
        <w:spacing w:val="-5"/>
        <w:sz w:val="17"/>
        <w:szCs w:val="17"/>
      </w:rPr>
      <w:tab/>
    </w:r>
    <w:r>
      <w:rPr>
        <w:rFonts w:asciiTheme="minorHAnsi" w:eastAsia="Times New Roman" w:hAnsiTheme="minorHAnsi" w:cstheme="minorHAnsi"/>
        <w:spacing w:val="-5"/>
        <w:sz w:val="17"/>
        <w:szCs w:val="17"/>
      </w:rPr>
      <w:tab/>
    </w:r>
    <w:r>
      <w:rPr>
        <w:rFonts w:asciiTheme="minorHAnsi" w:eastAsia="Times New Roman" w:hAnsiTheme="minorHAnsi" w:cstheme="minorHAnsi"/>
        <w:spacing w:val="-5"/>
        <w:sz w:val="17"/>
        <w:szCs w:val="17"/>
      </w:rPr>
      <w:tab/>
    </w:r>
    <w:r>
      <w:rPr>
        <w:rFonts w:asciiTheme="minorHAnsi" w:eastAsia="Times New Roman" w:hAnsiTheme="minorHAnsi" w:cstheme="minorHAnsi"/>
        <w:spacing w:val="-5"/>
        <w:sz w:val="17"/>
        <w:szCs w:val="17"/>
      </w:rPr>
      <w:tab/>
    </w:r>
    <w:r>
      <w:rPr>
        <w:rFonts w:asciiTheme="minorHAnsi" w:eastAsia="Times New Roman" w:hAnsiTheme="minorHAnsi" w:cstheme="minorHAnsi"/>
        <w:spacing w:val="-5"/>
        <w:sz w:val="17"/>
        <w:szCs w:val="17"/>
      </w:rPr>
      <w:tab/>
    </w:r>
    <w:r>
      <w:rPr>
        <w:rFonts w:asciiTheme="minorHAnsi" w:eastAsia="Times New Roman" w:hAnsiTheme="minorHAnsi" w:cstheme="minorHAnsi"/>
        <w:spacing w:val="-5"/>
        <w:sz w:val="17"/>
        <w:szCs w:val="17"/>
      </w:rPr>
      <w:tab/>
    </w:r>
    <w:r>
      <w:rPr>
        <w:rFonts w:asciiTheme="minorHAnsi" w:eastAsia="Times New Roman" w:hAnsiTheme="minorHAnsi" w:cstheme="minorHAnsi"/>
        <w:spacing w:val="-5"/>
        <w:sz w:val="18"/>
        <w:szCs w:val="18"/>
      </w:rPr>
      <w:t>https://</w:t>
    </w:r>
    <w:r w:rsidRPr="001E27FF">
      <w:rPr>
        <w:rFonts w:asciiTheme="minorHAnsi" w:eastAsia="Times New Roman" w:hAnsiTheme="minorHAnsi" w:cstheme="minorHAnsi"/>
        <w:spacing w:val="-5"/>
        <w:sz w:val="18"/>
        <w:szCs w:val="18"/>
      </w:rPr>
      <w:t>labta.la.gov</w:t>
    </w:r>
  </w:p>
  <w:p w14:paraId="6824E40F" w14:textId="77777777" w:rsidR="00C8464D" w:rsidRPr="001E27FF" w:rsidRDefault="00C8464D" w:rsidP="00C8464D">
    <w:pPr>
      <w:widowControl/>
      <w:autoSpaceDE/>
      <w:autoSpaceDN/>
      <w:adjustRightInd/>
      <w:jc w:val="both"/>
      <w:rPr>
        <w:rFonts w:asciiTheme="minorHAnsi" w:eastAsia="Times New Roman" w:hAnsiTheme="minorHAnsi" w:cstheme="minorHAnsi"/>
        <w:spacing w:val="-5"/>
        <w:sz w:val="16"/>
        <w:szCs w:val="20"/>
      </w:rPr>
    </w:pP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 xml:space="preserve">                Vice-Chair</w:t>
    </w:r>
  </w:p>
  <w:p w14:paraId="5350B2EE" w14:textId="23E1B6E6" w:rsidR="00C8464D" w:rsidRPr="00C8464D" w:rsidRDefault="00C8464D" w:rsidP="00C8464D">
    <w:pPr>
      <w:widowControl/>
      <w:autoSpaceDE/>
      <w:autoSpaceDN/>
      <w:adjustRightInd/>
      <w:jc w:val="both"/>
      <w:rPr>
        <w:rFonts w:asciiTheme="minorHAnsi" w:eastAsia="Times New Roman" w:hAnsiTheme="minorHAnsi" w:cstheme="minorHAnsi"/>
        <w:spacing w:val="-5"/>
        <w:sz w:val="16"/>
        <w:szCs w:val="20"/>
      </w:rPr>
    </w:pPr>
    <w:r w:rsidRPr="001E27FF">
      <w:rPr>
        <w:rFonts w:asciiTheme="minorHAnsi" w:eastAsia="Times New Roman" w:hAnsiTheme="minorHAnsi" w:cstheme="minorHAnsi"/>
        <w:spacing w:val="-5"/>
        <w:sz w:val="16"/>
        <w:szCs w:val="20"/>
      </w:rPr>
      <w:t xml:space="preserve">           MICHAEL G. GAFFNEY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69"/>
    <w:multiLevelType w:val="hybridMultilevel"/>
    <w:tmpl w:val="3D962DF6"/>
    <w:lvl w:ilvl="0" w:tplc="A55A1B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303B4"/>
    <w:multiLevelType w:val="hybridMultilevel"/>
    <w:tmpl w:val="831434C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30665A"/>
    <w:multiLevelType w:val="hybridMultilevel"/>
    <w:tmpl w:val="C27E1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905CE"/>
    <w:multiLevelType w:val="hybridMultilevel"/>
    <w:tmpl w:val="C6A64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EB6D58"/>
    <w:multiLevelType w:val="hybridMultilevel"/>
    <w:tmpl w:val="6D7A789A"/>
    <w:lvl w:ilvl="0" w:tplc="41D8525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DA1B36"/>
    <w:multiLevelType w:val="hybridMultilevel"/>
    <w:tmpl w:val="3A50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D6306D"/>
    <w:multiLevelType w:val="hybridMultilevel"/>
    <w:tmpl w:val="09208E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F781B33"/>
    <w:multiLevelType w:val="hybridMultilevel"/>
    <w:tmpl w:val="65503CEC"/>
    <w:lvl w:ilvl="0" w:tplc="118474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036355"/>
    <w:multiLevelType w:val="hybridMultilevel"/>
    <w:tmpl w:val="32D2F2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761D4"/>
    <w:multiLevelType w:val="hybridMultilevel"/>
    <w:tmpl w:val="6F48B0E0"/>
    <w:lvl w:ilvl="0" w:tplc="543271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730DD"/>
    <w:multiLevelType w:val="hybridMultilevel"/>
    <w:tmpl w:val="1BE8D204"/>
    <w:lvl w:ilvl="0" w:tplc="66A669BC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E2737"/>
    <w:multiLevelType w:val="hybridMultilevel"/>
    <w:tmpl w:val="595214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0A29B6"/>
    <w:multiLevelType w:val="hybridMultilevel"/>
    <w:tmpl w:val="E546454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292B0E05"/>
    <w:multiLevelType w:val="hybridMultilevel"/>
    <w:tmpl w:val="F0AEE052"/>
    <w:lvl w:ilvl="0" w:tplc="309EA3F6">
      <w:start w:val="1"/>
      <w:numFmt w:val="decimal"/>
      <w:lvlText w:val="%1."/>
      <w:lvlJc w:val="left"/>
      <w:pPr>
        <w:ind w:left="19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309050A2"/>
    <w:multiLevelType w:val="hybridMultilevel"/>
    <w:tmpl w:val="2BF22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0879D2"/>
    <w:multiLevelType w:val="hybridMultilevel"/>
    <w:tmpl w:val="9A98316E"/>
    <w:lvl w:ilvl="0" w:tplc="C352D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200D37"/>
    <w:multiLevelType w:val="hybridMultilevel"/>
    <w:tmpl w:val="3690B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938EA"/>
    <w:multiLevelType w:val="hybridMultilevel"/>
    <w:tmpl w:val="ECB457B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D613BC"/>
    <w:multiLevelType w:val="hybridMultilevel"/>
    <w:tmpl w:val="D706B352"/>
    <w:lvl w:ilvl="0" w:tplc="86D07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4E18CA"/>
    <w:multiLevelType w:val="hybridMultilevel"/>
    <w:tmpl w:val="78F00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A82A18"/>
    <w:multiLevelType w:val="hybridMultilevel"/>
    <w:tmpl w:val="D75A34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8565BC"/>
    <w:multiLevelType w:val="hybridMultilevel"/>
    <w:tmpl w:val="7592E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B8472C"/>
    <w:multiLevelType w:val="hybridMultilevel"/>
    <w:tmpl w:val="C7D81F2C"/>
    <w:lvl w:ilvl="0" w:tplc="4502B99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EE7054"/>
    <w:multiLevelType w:val="hybridMultilevel"/>
    <w:tmpl w:val="83FAA8F4"/>
    <w:lvl w:ilvl="0" w:tplc="9B30300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123399"/>
    <w:multiLevelType w:val="hybridMultilevel"/>
    <w:tmpl w:val="CF28BFF2"/>
    <w:lvl w:ilvl="0" w:tplc="51BE3EE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A5F81"/>
    <w:multiLevelType w:val="hybridMultilevel"/>
    <w:tmpl w:val="8F289D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5F979F3"/>
    <w:multiLevelType w:val="hybridMultilevel"/>
    <w:tmpl w:val="79D2DC34"/>
    <w:lvl w:ilvl="0" w:tplc="C3C27D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B14BC4"/>
    <w:multiLevelType w:val="hybridMultilevel"/>
    <w:tmpl w:val="B7081D9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C2C4EE9"/>
    <w:multiLevelType w:val="hybridMultilevel"/>
    <w:tmpl w:val="C9FA1512"/>
    <w:lvl w:ilvl="0" w:tplc="AFCCD9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92D3D"/>
    <w:multiLevelType w:val="hybridMultilevel"/>
    <w:tmpl w:val="6DDCF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B06F5"/>
    <w:multiLevelType w:val="hybridMultilevel"/>
    <w:tmpl w:val="ECB457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A23F1F"/>
    <w:multiLevelType w:val="hybridMultilevel"/>
    <w:tmpl w:val="767034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44B89"/>
    <w:multiLevelType w:val="hybridMultilevel"/>
    <w:tmpl w:val="896ED3EE"/>
    <w:lvl w:ilvl="0" w:tplc="85FC7A5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807D2"/>
    <w:multiLevelType w:val="hybridMultilevel"/>
    <w:tmpl w:val="4AC269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C27D37"/>
    <w:multiLevelType w:val="hybridMultilevel"/>
    <w:tmpl w:val="FC5E6F8E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D60BDA"/>
    <w:multiLevelType w:val="hybridMultilevel"/>
    <w:tmpl w:val="721C384C"/>
    <w:lvl w:ilvl="0" w:tplc="14401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A53879"/>
    <w:multiLevelType w:val="hybridMultilevel"/>
    <w:tmpl w:val="85FEC680"/>
    <w:lvl w:ilvl="0" w:tplc="C932187C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73B12B69"/>
    <w:multiLevelType w:val="hybridMultilevel"/>
    <w:tmpl w:val="C1E4E732"/>
    <w:lvl w:ilvl="0" w:tplc="ECDC3B10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8" w15:restartNumberingAfterBreak="0">
    <w:nsid w:val="76707483"/>
    <w:multiLevelType w:val="hybridMultilevel"/>
    <w:tmpl w:val="BD5C0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C17726"/>
    <w:multiLevelType w:val="hybridMultilevel"/>
    <w:tmpl w:val="A136392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7C726334"/>
    <w:multiLevelType w:val="hybridMultilevel"/>
    <w:tmpl w:val="64766C3E"/>
    <w:lvl w:ilvl="0" w:tplc="E3FE3B9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5928746">
    <w:abstractNumId w:val="32"/>
  </w:num>
  <w:num w:numId="2" w16cid:durableId="492455170">
    <w:abstractNumId w:val="2"/>
  </w:num>
  <w:num w:numId="3" w16cid:durableId="531307783">
    <w:abstractNumId w:val="35"/>
  </w:num>
  <w:num w:numId="4" w16cid:durableId="602736423">
    <w:abstractNumId w:val="22"/>
  </w:num>
  <w:num w:numId="5" w16cid:durableId="1377074449">
    <w:abstractNumId w:val="7"/>
  </w:num>
  <w:num w:numId="6" w16cid:durableId="1595286650">
    <w:abstractNumId w:val="24"/>
  </w:num>
  <w:num w:numId="7" w16cid:durableId="848178066">
    <w:abstractNumId w:val="0"/>
  </w:num>
  <w:num w:numId="8" w16cid:durableId="1642882392">
    <w:abstractNumId w:val="38"/>
  </w:num>
  <w:num w:numId="9" w16cid:durableId="65035002">
    <w:abstractNumId w:val="29"/>
  </w:num>
  <w:num w:numId="10" w16cid:durableId="905452700">
    <w:abstractNumId w:val="40"/>
  </w:num>
  <w:num w:numId="11" w16cid:durableId="574818807">
    <w:abstractNumId w:val="4"/>
  </w:num>
  <w:num w:numId="12" w16cid:durableId="36853942">
    <w:abstractNumId w:val="12"/>
  </w:num>
  <w:num w:numId="13" w16cid:durableId="189078189">
    <w:abstractNumId w:val="13"/>
  </w:num>
  <w:num w:numId="14" w16cid:durableId="1093165729">
    <w:abstractNumId w:val="39"/>
  </w:num>
  <w:num w:numId="15" w16cid:durableId="362705020">
    <w:abstractNumId w:val="27"/>
  </w:num>
  <w:num w:numId="16" w16cid:durableId="1394309993">
    <w:abstractNumId w:val="25"/>
  </w:num>
  <w:num w:numId="17" w16cid:durableId="890073328">
    <w:abstractNumId w:val="6"/>
  </w:num>
  <w:num w:numId="18" w16cid:durableId="1214191313">
    <w:abstractNumId w:val="36"/>
  </w:num>
  <w:num w:numId="19" w16cid:durableId="1813478885">
    <w:abstractNumId w:val="37"/>
  </w:num>
  <w:num w:numId="20" w16cid:durableId="1834877984">
    <w:abstractNumId w:val="5"/>
  </w:num>
  <w:num w:numId="21" w16cid:durableId="1913156887">
    <w:abstractNumId w:val="11"/>
  </w:num>
  <w:num w:numId="22" w16cid:durableId="1052119274">
    <w:abstractNumId w:val="19"/>
  </w:num>
  <w:num w:numId="23" w16cid:durableId="276176833">
    <w:abstractNumId w:val="23"/>
  </w:num>
  <w:num w:numId="24" w16cid:durableId="2019774262">
    <w:abstractNumId w:val="33"/>
  </w:num>
  <w:num w:numId="25" w16cid:durableId="187449028">
    <w:abstractNumId w:val="21"/>
  </w:num>
  <w:num w:numId="26" w16cid:durableId="1010723035">
    <w:abstractNumId w:val="16"/>
  </w:num>
  <w:num w:numId="27" w16cid:durableId="1943299035">
    <w:abstractNumId w:val="20"/>
  </w:num>
  <w:num w:numId="28" w16cid:durableId="295835008">
    <w:abstractNumId w:val="34"/>
  </w:num>
  <w:num w:numId="29" w16cid:durableId="2012760504">
    <w:abstractNumId w:val="28"/>
  </w:num>
  <w:num w:numId="30" w16cid:durableId="635064476">
    <w:abstractNumId w:val="3"/>
  </w:num>
  <w:num w:numId="31" w16cid:durableId="1055007791">
    <w:abstractNumId w:val="8"/>
  </w:num>
  <w:num w:numId="32" w16cid:durableId="560603309">
    <w:abstractNumId w:val="1"/>
  </w:num>
  <w:num w:numId="33" w16cid:durableId="237374678">
    <w:abstractNumId w:val="14"/>
  </w:num>
  <w:num w:numId="34" w16cid:durableId="141388474">
    <w:abstractNumId w:val="31"/>
  </w:num>
  <w:num w:numId="35" w16cid:durableId="216094960">
    <w:abstractNumId w:val="10"/>
  </w:num>
  <w:num w:numId="36" w16cid:durableId="1605838902">
    <w:abstractNumId w:val="15"/>
  </w:num>
  <w:num w:numId="37" w16cid:durableId="1547713577">
    <w:abstractNumId w:val="9"/>
  </w:num>
  <w:num w:numId="38" w16cid:durableId="853501348">
    <w:abstractNumId w:val="30"/>
  </w:num>
  <w:num w:numId="39" w16cid:durableId="367099142">
    <w:abstractNumId w:val="17"/>
  </w:num>
  <w:num w:numId="40" w16cid:durableId="1671442390">
    <w:abstractNumId w:val="26"/>
  </w:num>
  <w:num w:numId="41" w16cid:durableId="15916959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CD"/>
    <w:rsid w:val="00014FD3"/>
    <w:rsid w:val="0001611B"/>
    <w:rsid w:val="000217D4"/>
    <w:rsid w:val="00023907"/>
    <w:rsid w:val="00031326"/>
    <w:rsid w:val="0003520E"/>
    <w:rsid w:val="00040E76"/>
    <w:rsid w:val="00042266"/>
    <w:rsid w:val="000766C6"/>
    <w:rsid w:val="00087001"/>
    <w:rsid w:val="00093510"/>
    <w:rsid w:val="00095003"/>
    <w:rsid w:val="0009754D"/>
    <w:rsid w:val="000A1141"/>
    <w:rsid w:val="000C1D83"/>
    <w:rsid w:val="000E34E0"/>
    <w:rsid w:val="000E4394"/>
    <w:rsid w:val="000F36BE"/>
    <w:rsid w:val="000F7D36"/>
    <w:rsid w:val="001017C3"/>
    <w:rsid w:val="00111627"/>
    <w:rsid w:val="00123267"/>
    <w:rsid w:val="00126C95"/>
    <w:rsid w:val="001307CD"/>
    <w:rsid w:val="00132570"/>
    <w:rsid w:val="00141222"/>
    <w:rsid w:val="00181DBB"/>
    <w:rsid w:val="00190AEA"/>
    <w:rsid w:val="001B239E"/>
    <w:rsid w:val="001B483D"/>
    <w:rsid w:val="001B62B2"/>
    <w:rsid w:val="001C2386"/>
    <w:rsid w:val="001D6EC9"/>
    <w:rsid w:val="001E27FF"/>
    <w:rsid w:val="0021050F"/>
    <w:rsid w:val="00236F84"/>
    <w:rsid w:val="00237033"/>
    <w:rsid w:val="00244F0A"/>
    <w:rsid w:val="002834EA"/>
    <w:rsid w:val="0029432E"/>
    <w:rsid w:val="002A4247"/>
    <w:rsid w:val="002B64E7"/>
    <w:rsid w:val="002B6C66"/>
    <w:rsid w:val="002B73BA"/>
    <w:rsid w:val="002C798E"/>
    <w:rsid w:val="002C7B80"/>
    <w:rsid w:val="002E0915"/>
    <w:rsid w:val="002E25AC"/>
    <w:rsid w:val="00301392"/>
    <w:rsid w:val="003041DC"/>
    <w:rsid w:val="0031412E"/>
    <w:rsid w:val="0032210A"/>
    <w:rsid w:val="00336B15"/>
    <w:rsid w:val="00341C2B"/>
    <w:rsid w:val="00343FA2"/>
    <w:rsid w:val="00360449"/>
    <w:rsid w:val="00392778"/>
    <w:rsid w:val="00394657"/>
    <w:rsid w:val="003A6F57"/>
    <w:rsid w:val="003A7C4C"/>
    <w:rsid w:val="003B1175"/>
    <w:rsid w:val="003C781F"/>
    <w:rsid w:val="003F204C"/>
    <w:rsid w:val="003F38FF"/>
    <w:rsid w:val="003F4FF5"/>
    <w:rsid w:val="0041285A"/>
    <w:rsid w:val="00413C29"/>
    <w:rsid w:val="0044265F"/>
    <w:rsid w:val="00457502"/>
    <w:rsid w:val="004A161B"/>
    <w:rsid w:val="004B09FC"/>
    <w:rsid w:val="004C7634"/>
    <w:rsid w:val="004C7866"/>
    <w:rsid w:val="00500E91"/>
    <w:rsid w:val="0050662A"/>
    <w:rsid w:val="00514861"/>
    <w:rsid w:val="00520ABD"/>
    <w:rsid w:val="00531FDD"/>
    <w:rsid w:val="0054296A"/>
    <w:rsid w:val="00542E95"/>
    <w:rsid w:val="0055539E"/>
    <w:rsid w:val="005577D3"/>
    <w:rsid w:val="00573F9D"/>
    <w:rsid w:val="00581910"/>
    <w:rsid w:val="005873B4"/>
    <w:rsid w:val="00595728"/>
    <w:rsid w:val="005A133B"/>
    <w:rsid w:val="005B0A3E"/>
    <w:rsid w:val="005B105D"/>
    <w:rsid w:val="005B2657"/>
    <w:rsid w:val="005C2BE1"/>
    <w:rsid w:val="005E360A"/>
    <w:rsid w:val="005F2F0B"/>
    <w:rsid w:val="00620686"/>
    <w:rsid w:val="0062498F"/>
    <w:rsid w:val="00641304"/>
    <w:rsid w:val="006566BC"/>
    <w:rsid w:val="00656AEE"/>
    <w:rsid w:val="00686951"/>
    <w:rsid w:val="00692017"/>
    <w:rsid w:val="00692E9B"/>
    <w:rsid w:val="0069791C"/>
    <w:rsid w:val="006A0FED"/>
    <w:rsid w:val="006A4DC9"/>
    <w:rsid w:val="006A7004"/>
    <w:rsid w:val="006B16B5"/>
    <w:rsid w:val="006B16E4"/>
    <w:rsid w:val="006E4CFC"/>
    <w:rsid w:val="006F1B71"/>
    <w:rsid w:val="006F47CF"/>
    <w:rsid w:val="0070715A"/>
    <w:rsid w:val="00710965"/>
    <w:rsid w:val="00753381"/>
    <w:rsid w:val="0075702C"/>
    <w:rsid w:val="00764D07"/>
    <w:rsid w:val="007937F2"/>
    <w:rsid w:val="007B4996"/>
    <w:rsid w:val="007C0F89"/>
    <w:rsid w:val="007C6618"/>
    <w:rsid w:val="007D2CC8"/>
    <w:rsid w:val="007F2BF0"/>
    <w:rsid w:val="007F2EBF"/>
    <w:rsid w:val="00833164"/>
    <w:rsid w:val="00843A2D"/>
    <w:rsid w:val="00861132"/>
    <w:rsid w:val="00890B0F"/>
    <w:rsid w:val="008C27D2"/>
    <w:rsid w:val="008C30DF"/>
    <w:rsid w:val="008C4BE6"/>
    <w:rsid w:val="008C724F"/>
    <w:rsid w:val="008D47F5"/>
    <w:rsid w:val="008E5897"/>
    <w:rsid w:val="00910341"/>
    <w:rsid w:val="009364D7"/>
    <w:rsid w:val="00953823"/>
    <w:rsid w:val="00962425"/>
    <w:rsid w:val="00966A2F"/>
    <w:rsid w:val="00971FA1"/>
    <w:rsid w:val="00990538"/>
    <w:rsid w:val="00994E99"/>
    <w:rsid w:val="009A0FAD"/>
    <w:rsid w:val="009B17D1"/>
    <w:rsid w:val="009B5D0C"/>
    <w:rsid w:val="009B6308"/>
    <w:rsid w:val="009C77F5"/>
    <w:rsid w:val="009D2D2D"/>
    <w:rsid w:val="009F0559"/>
    <w:rsid w:val="009F47A6"/>
    <w:rsid w:val="00A04E59"/>
    <w:rsid w:val="00A0542D"/>
    <w:rsid w:val="00A068DC"/>
    <w:rsid w:val="00A106FA"/>
    <w:rsid w:val="00A24B12"/>
    <w:rsid w:val="00A31065"/>
    <w:rsid w:val="00A459D1"/>
    <w:rsid w:val="00A553B4"/>
    <w:rsid w:val="00A95652"/>
    <w:rsid w:val="00AA5789"/>
    <w:rsid w:val="00AB2A66"/>
    <w:rsid w:val="00AC5DEA"/>
    <w:rsid w:val="00AD12BF"/>
    <w:rsid w:val="00AE393A"/>
    <w:rsid w:val="00AF304E"/>
    <w:rsid w:val="00AF3B53"/>
    <w:rsid w:val="00B01BA9"/>
    <w:rsid w:val="00B07A98"/>
    <w:rsid w:val="00B2501D"/>
    <w:rsid w:val="00B3145B"/>
    <w:rsid w:val="00B33D75"/>
    <w:rsid w:val="00B426D7"/>
    <w:rsid w:val="00B574BE"/>
    <w:rsid w:val="00B62733"/>
    <w:rsid w:val="00B74495"/>
    <w:rsid w:val="00B836A7"/>
    <w:rsid w:val="00B9310F"/>
    <w:rsid w:val="00B962E6"/>
    <w:rsid w:val="00B96FD7"/>
    <w:rsid w:val="00BD4335"/>
    <w:rsid w:val="00BF3B96"/>
    <w:rsid w:val="00C14FAE"/>
    <w:rsid w:val="00C16243"/>
    <w:rsid w:val="00C361B2"/>
    <w:rsid w:val="00C5550F"/>
    <w:rsid w:val="00C6173E"/>
    <w:rsid w:val="00C63472"/>
    <w:rsid w:val="00C737ED"/>
    <w:rsid w:val="00C74B17"/>
    <w:rsid w:val="00C83A83"/>
    <w:rsid w:val="00C83FD1"/>
    <w:rsid w:val="00C8464D"/>
    <w:rsid w:val="00C97FEA"/>
    <w:rsid w:val="00D03C5D"/>
    <w:rsid w:val="00D12CAF"/>
    <w:rsid w:val="00D151AB"/>
    <w:rsid w:val="00D16676"/>
    <w:rsid w:val="00D17DC6"/>
    <w:rsid w:val="00D35B7F"/>
    <w:rsid w:val="00D439AD"/>
    <w:rsid w:val="00D45C48"/>
    <w:rsid w:val="00D4700E"/>
    <w:rsid w:val="00D5095E"/>
    <w:rsid w:val="00D51ABA"/>
    <w:rsid w:val="00D94925"/>
    <w:rsid w:val="00DA11C1"/>
    <w:rsid w:val="00DC0657"/>
    <w:rsid w:val="00DD2DB0"/>
    <w:rsid w:val="00DD3B54"/>
    <w:rsid w:val="00DF060D"/>
    <w:rsid w:val="00DF1046"/>
    <w:rsid w:val="00E00AD0"/>
    <w:rsid w:val="00E146F9"/>
    <w:rsid w:val="00E2654B"/>
    <w:rsid w:val="00E26F88"/>
    <w:rsid w:val="00E27CBD"/>
    <w:rsid w:val="00E451C5"/>
    <w:rsid w:val="00E47723"/>
    <w:rsid w:val="00E52879"/>
    <w:rsid w:val="00E531F7"/>
    <w:rsid w:val="00E66FEF"/>
    <w:rsid w:val="00E70684"/>
    <w:rsid w:val="00E75050"/>
    <w:rsid w:val="00EA5DE1"/>
    <w:rsid w:val="00EA66EC"/>
    <w:rsid w:val="00EB2F5F"/>
    <w:rsid w:val="00EB5B6B"/>
    <w:rsid w:val="00EC2450"/>
    <w:rsid w:val="00ED66A0"/>
    <w:rsid w:val="00F000E6"/>
    <w:rsid w:val="00F133D8"/>
    <w:rsid w:val="00F34808"/>
    <w:rsid w:val="00F42EC5"/>
    <w:rsid w:val="00F524BC"/>
    <w:rsid w:val="00F5762F"/>
    <w:rsid w:val="00FA799D"/>
    <w:rsid w:val="00FB493A"/>
    <w:rsid w:val="00FD2A4E"/>
    <w:rsid w:val="00FD3A55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02501529"/>
  <w14:defaultImageDpi w14:val="0"/>
  <w15:docId w15:val="{0C95B71F-9BA9-48C0-B2DA-4FF735AF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62F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2F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573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9D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9D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7D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7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D8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0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50F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50F"/>
    <w:rPr>
      <w:rFonts w:ascii="Tahoma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386"/>
    <w:pPr>
      <w:spacing w:after="0" w:line="240" w:lineRule="auto"/>
    </w:pPr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0E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762F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2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762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5762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5762F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5762F"/>
    <w:rPr>
      <w:rFonts w:ascii="Calibri" w:eastAsiaTheme="majorEastAsia" w:hAnsi="Calibri" w:cstheme="majorBidi"/>
      <w:b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846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4D7"/>
    <w:rPr>
      <w:color w:val="800080" w:themeColor="followedHyperlink"/>
      <w:u w:val="single"/>
    </w:rPr>
  </w:style>
  <w:style w:type="paragraph" w:customStyle="1" w:styleId="Default">
    <w:name w:val="Default"/>
    <w:rsid w:val="00936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8/chapter-I/part-35/subpart-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abta.la.gov/contact-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a.la.gov/media/gs0hee2m/ppm-74-web-accessibility-compliance-r6-25-a11y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BEC2-B958-4E80-9355-5D715855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2360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Bardwell</dc:creator>
  <cp:lastModifiedBy>Michael Bardwell</cp:lastModifiedBy>
  <cp:revision>2</cp:revision>
  <cp:lastPrinted>2026-03-30T16:23:00Z</cp:lastPrinted>
  <dcterms:created xsi:type="dcterms:W3CDTF">2026-04-14T20:27:00Z</dcterms:created>
  <dcterms:modified xsi:type="dcterms:W3CDTF">2026-04-14T20:27:00Z</dcterms:modified>
</cp:coreProperties>
</file>